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1F" w:rsidRPr="0090121F" w:rsidRDefault="0090121F" w:rsidP="0090121F">
      <w:pPr>
        <w:jc w:val="center"/>
        <w:rPr>
          <w:rFonts w:ascii="华文仿宋" w:eastAsia="华文仿宋" w:hAnsi="华文仿宋"/>
          <w:b/>
          <w:sz w:val="30"/>
          <w:szCs w:val="30"/>
        </w:rPr>
      </w:pPr>
      <w:r w:rsidRPr="0090121F">
        <w:rPr>
          <w:rFonts w:ascii="华文仿宋" w:eastAsia="华文仿宋" w:hAnsi="华文仿宋" w:hint="eastAsia"/>
          <w:b/>
          <w:sz w:val="30"/>
          <w:szCs w:val="30"/>
        </w:rPr>
        <w:t>拟推荐2015年度上海市大学生创新活动计划项目立项公示名单</w:t>
      </w:r>
    </w:p>
    <w:p w:rsidR="0090121F" w:rsidRPr="0090121F" w:rsidRDefault="0090121F" w:rsidP="0090121F">
      <w:pPr>
        <w:jc w:val="center"/>
        <w:rPr>
          <w:rFonts w:ascii="华文仿宋" w:eastAsia="华文仿宋" w:hAnsi="华文仿宋"/>
          <w:b/>
          <w:sz w:val="20"/>
          <w:szCs w:val="20"/>
        </w:rPr>
      </w:pPr>
      <w:r w:rsidRPr="0090121F">
        <w:rPr>
          <w:rFonts w:ascii="华文仿宋" w:eastAsia="华文仿宋" w:hAnsi="华文仿宋" w:hint="eastAsia"/>
          <w:b/>
          <w:sz w:val="20"/>
          <w:szCs w:val="20"/>
        </w:rPr>
        <w:t>(排名不分先后，按项目负责人姓氏拼音为序)</w:t>
      </w:r>
    </w:p>
    <w:tbl>
      <w:tblPr>
        <w:tblW w:w="10505" w:type="dxa"/>
        <w:tblInd w:w="93" w:type="dxa"/>
        <w:tblLook w:val="04A0"/>
      </w:tblPr>
      <w:tblGrid>
        <w:gridCol w:w="520"/>
        <w:gridCol w:w="1055"/>
        <w:gridCol w:w="7654"/>
        <w:gridCol w:w="1276"/>
      </w:tblGrid>
      <w:tr w:rsidR="0090121F" w:rsidRPr="0090121F" w:rsidTr="0090121F">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21F" w:rsidRPr="0090121F" w:rsidRDefault="0090121F" w:rsidP="00164393">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序号</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90121F" w:rsidRPr="0090121F" w:rsidRDefault="0090121F" w:rsidP="00164393">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推荐</w:t>
            </w:r>
            <w:r w:rsidR="00164393">
              <w:rPr>
                <w:rFonts w:ascii="华文楷体" w:eastAsia="华文楷体" w:hAnsi="华文楷体" w:cs="宋体" w:hint="eastAsia"/>
                <w:b/>
                <w:bCs/>
                <w:kern w:val="0"/>
                <w:sz w:val="20"/>
                <w:szCs w:val="20"/>
              </w:rPr>
              <w:t>单位</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0121F" w:rsidRPr="0090121F" w:rsidRDefault="0090121F" w:rsidP="00164393">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项目名称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0121F" w:rsidRPr="0090121F" w:rsidRDefault="0090121F" w:rsidP="00164393">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项目负责人</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商</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我国创业融资</w:t>
            </w:r>
            <w:proofErr w:type="gramStart"/>
            <w:r w:rsidRPr="0090121F">
              <w:rPr>
                <w:rFonts w:ascii="华文楷体" w:eastAsia="华文楷体" w:hAnsi="华文楷体" w:cs="宋体" w:hint="eastAsia"/>
                <w:kern w:val="0"/>
                <w:sz w:val="20"/>
                <w:szCs w:val="20"/>
              </w:rPr>
              <w:t>众筹模式</w:t>
            </w:r>
            <w:proofErr w:type="gramEnd"/>
            <w:r w:rsidRPr="0090121F">
              <w:rPr>
                <w:rFonts w:ascii="华文楷体" w:eastAsia="华文楷体" w:hAnsi="华文楷体" w:cs="宋体" w:hint="eastAsia"/>
                <w:kern w:val="0"/>
                <w:sz w:val="20"/>
                <w:szCs w:val="20"/>
              </w:rPr>
              <w:t>与非法集资的边界研究</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白鸽</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建工</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“吸霾”混凝土施工生态道路系统</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白天明</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哲学</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关于上海市大学生创新项目对大学生创新能力的培养的调查研究——以上海师范大学为例</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 xml:space="preserve">卞玲莉 </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4</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一种适用于菠菜的全元生物有机肥料的研制</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卞雪坤</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旅游</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大型节庆活动危机预警系统研究——以上海旅游节为例</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蔡宣铭</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画中的物理——</w:t>
            </w:r>
            <w:proofErr w:type="gramStart"/>
            <w:r w:rsidRPr="0090121F">
              <w:rPr>
                <w:rFonts w:ascii="华文楷体" w:eastAsia="华文楷体" w:hAnsi="华文楷体" w:cs="宋体" w:hint="eastAsia"/>
                <w:kern w:val="0"/>
                <w:sz w:val="20"/>
                <w:szCs w:val="20"/>
              </w:rPr>
              <w:t>论西方</w:t>
            </w:r>
            <w:proofErr w:type="gramEnd"/>
            <w:r w:rsidRPr="0090121F">
              <w:rPr>
                <w:rFonts w:ascii="华文楷体" w:eastAsia="华文楷体" w:hAnsi="华文楷体" w:cs="宋体" w:hint="eastAsia"/>
                <w:kern w:val="0"/>
                <w:sz w:val="20"/>
                <w:szCs w:val="20"/>
              </w:rPr>
              <w:t>绘画所蕴含的物理知识</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曹江明</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7</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基于凤蝶</w:t>
            </w:r>
            <w:proofErr w:type="gramStart"/>
            <w:r w:rsidRPr="0090121F">
              <w:rPr>
                <w:rFonts w:ascii="华文楷体" w:eastAsia="华文楷体" w:hAnsi="华文楷体" w:cs="宋体" w:hint="eastAsia"/>
                <w:kern w:val="0"/>
                <w:sz w:val="20"/>
                <w:szCs w:val="20"/>
              </w:rPr>
              <w:t>翅</w:t>
            </w:r>
            <w:proofErr w:type="gramEnd"/>
            <w:r w:rsidRPr="0090121F">
              <w:rPr>
                <w:rFonts w:ascii="华文楷体" w:eastAsia="华文楷体" w:hAnsi="华文楷体" w:cs="宋体" w:hint="eastAsia"/>
                <w:kern w:val="0"/>
                <w:sz w:val="20"/>
                <w:szCs w:val="20"/>
              </w:rPr>
              <w:t>鳞片</w:t>
            </w:r>
            <w:proofErr w:type="gramStart"/>
            <w:r w:rsidRPr="0090121F">
              <w:rPr>
                <w:rFonts w:ascii="华文楷体" w:eastAsia="华文楷体" w:hAnsi="华文楷体" w:cs="宋体" w:hint="eastAsia"/>
                <w:kern w:val="0"/>
                <w:sz w:val="20"/>
                <w:szCs w:val="20"/>
              </w:rPr>
              <w:t>微纳结构</w:t>
            </w:r>
            <w:proofErr w:type="gramEnd"/>
            <w:r w:rsidRPr="0090121F">
              <w:rPr>
                <w:rFonts w:ascii="华文楷体" w:eastAsia="华文楷体" w:hAnsi="华文楷体" w:cs="宋体" w:hint="eastAsia"/>
                <w:kern w:val="0"/>
                <w:sz w:val="20"/>
                <w:szCs w:val="20"/>
              </w:rPr>
              <w:t>的仿生光学防伪研究</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曹峻</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8</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以孔弄蝶属</w:t>
            </w:r>
            <w:proofErr w:type="gramEnd"/>
            <w:r w:rsidRPr="0090121F">
              <w:rPr>
                <w:rFonts w:ascii="华文楷体" w:eastAsia="华文楷体" w:hAnsi="华文楷体" w:cs="宋体" w:hint="eastAsia"/>
                <w:kern w:val="0"/>
                <w:sz w:val="20"/>
                <w:szCs w:val="20"/>
              </w:rPr>
              <w:t>为例研究共生</w:t>
            </w:r>
            <w:proofErr w:type="gramStart"/>
            <w:r w:rsidRPr="0090121F">
              <w:rPr>
                <w:rFonts w:ascii="华文楷体" w:eastAsia="华文楷体" w:hAnsi="华文楷体" w:cs="宋体" w:hint="eastAsia"/>
                <w:kern w:val="0"/>
                <w:sz w:val="20"/>
                <w:szCs w:val="20"/>
              </w:rPr>
              <w:t>菌</w:t>
            </w:r>
            <w:proofErr w:type="spellStart"/>
            <w:proofErr w:type="gramEnd"/>
            <w:r w:rsidRPr="0090121F">
              <w:rPr>
                <w:rFonts w:ascii="华文楷体" w:eastAsia="华文楷体" w:hAnsi="华文楷体" w:cs="宋体" w:hint="eastAsia"/>
                <w:kern w:val="0"/>
                <w:sz w:val="20"/>
                <w:szCs w:val="20"/>
              </w:rPr>
              <w:t>Wolbachia</w:t>
            </w:r>
            <w:proofErr w:type="spellEnd"/>
            <w:r w:rsidRPr="0090121F">
              <w:rPr>
                <w:rFonts w:ascii="华文楷体" w:eastAsia="华文楷体" w:hAnsi="华文楷体" w:cs="宋体" w:hint="eastAsia"/>
                <w:kern w:val="0"/>
                <w:sz w:val="20"/>
                <w:szCs w:val="20"/>
              </w:rPr>
              <w:t>对蝶类线粒体遗传多样性的影响</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常源</w:t>
            </w:r>
            <w:proofErr w:type="gramEnd"/>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9</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音乐</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探索提升中国大学生文化内涵的有效途径——以中国古诗词歌曲的现代歌唱演绎为例</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陈煌</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青年</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上海大学生情绪自控的现状、影响因素及对策</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陈丽</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11</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远程控制智能家居插座设计</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陈琪</w:t>
            </w:r>
            <w:proofErr w:type="gramEnd"/>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12</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数学史在中学数学教育中的应用</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陈诗妤</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13</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人文</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探讨中国语境下的上海社会工作发展模式现状</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陈旭</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14</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团委</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小学生地方民俗文化网络课堂</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陈</w:t>
            </w:r>
            <w:proofErr w:type="gramStart"/>
            <w:r w:rsidRPr="0090121F">
              <w:rPr>
                <w:rFonts w:ascii="华文楷体" w:eastAsia="华文楷体" w:hAnsi="华文楷体" w:cs="宋体" w:hint="eastAsia"/>
                <w:kern w:val="0"/>
                <w:sz w:val="20"/>
                <w:szCs w:val="20"/>
              </w:rPr>
              <w:t>一</w:t>
            </w:r>
            <w:proofErr w:type="gramEnd"/>
            <w:r w:rsidRPr="0090121F">
              <w:rPr>
                <w:rFonts w:ascii="华文楷体" w:eastAsia="华文楷体" w:hAnsi="华文楷体" w:cs="宋体" w:hint="eastAsia"/>
                <w:kern w:val="0"/>
                <w:sz w:val="20"/>
                <w:szCs w:val="20"/>
              </w:rPr>
              <w:t>灵</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15</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中学生创造思维训练的开发</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陈子尧</w:t>
            </w:r>
            <w:proofErr w:type="gramEnd"/>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16</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团委</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“物尽其用”——二手物品再利用公益创业计划</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丛丹</w:t>
            </w:r>
            <w:proofErr w:type="gramEnd"/>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17</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基于声纹识别的文件加密系统</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崔科</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18</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马院</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天水市农村文化建设现状调查</w:t>
            </w:r>
          </w:p>
        </w:tc>
        <w:tc>
          <w:tcPr>
            <w:tcW w:w="1276" w:type="dxa"/>
            <w:tcBorders>
              <w:top w:val="nil"/>
              <w:left w:val="nil"/>
              <w:bottom w:val="single" w:sz="4" w:space="0" w:color="auto"/>
              <w:right w:val="single" w:sz="4" w:space="0" w:color="auto"/>
            </w:tcBorders>
            <w:shd w:val="clear" w:color="000000" w:fill="FFFFFF"/>
            <w:noWrap/>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崔胜南</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19</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动力锂电池无刷双模检测与柔性控制系统</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代瑞红</w:t>
            </w:r>
            <w:proofErr w:type="gramEnd"/>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基于视频的烟雾识别检测装置</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丁慧娥</w:t>
            </w:r>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21</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OpG10H基因遗传转化短小蛇根草对其喜树碱含量的影响</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段秋慧</w:t>
            </w:r>
            <w:proofErr w:type="gramEnd"/>
          </w:p>
        </w:tc>
      </w:tr>
      <w:tr w:rsidR="0090121F"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22</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创业合作网站开发</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范哲铭</w:t>
            </w:r>
          </w:p>
        </w:tc>
      </w:tr>
      <w:tr w:rsidR="0090121F" w:rsidRPr="0090121F" w:rsidTr="00FD7FAA">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23</w:t>
            </w:r>
          </w:p>
        </w:tc>
        <w:tc>
          <w:tcPr>
            <w:tcW w:w="1055"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旅游</w:t>
            </w:r>
          </w:p>
        </w:tc>
        <w:tc>
          <w:tcPr>
            <w:tcW w:w="7654" w:type="dxa"/>
            <w:tcBorders>
              <w:top w:val="nil"/>
              <w:left w:val="nil"/>
              <w:bottom w:val="single" w:sz="4" w:space="0" w:color="auto"/>
              <w:right w:val="single" w:sz="4" w:space="0" w:color="auto"/>
            </w:tcBorders>
            <w:shd w:val="clear" w:color="auto" w:fill="auto"/>
            <w:vAlign w:val="center"/>
            <w:hideMark/>
          </w:tcPr>
          <w:p w:rsidR="0090121F" w:rsidRPr="0090121F" w:rsidRDefault="0090121F"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青年学生自助旅游需求与国际青年旅舍的住宿服务供给分析研究</w:t>
            </w:r>
          </w:p>
        </w:tc>
        <w:tc>
          <w:tcPr>
            <w:tcW w:w="1276" w:type="dxa"/>
            <w:tcBorders>
              <w:top w:val="nil"/>
              <w:left w:val="nil"/>
              <w:bottom w:val="single" w:sz="4" w:space="0" w:color="auto"/>
              <w:right w:val="single" w:sz="4" w:space="0" w:color="auto"/>
            </w:tcBorders>
            <w:shd w:val="clear" w:color="000000" w:fill="FFFFFF"/>
            <w:vAlign w:val="center"/>
            <w:hideMark/>
          </w:tcPr>
          <w:p w:rsidR="0090121F" w:rsidRPr="0090121F" w:rsidRDefault="0090121F"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冯颖蝶</w:t>
            </w:r>
          </w:p>
        </w:tc>
      </w:tr>
      <w:tr w:rsidR="00FD7FAA" w:rsidRPr="0090121F" w:rsidTr="00FD7FAA">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lastRenderedPageBreak/>
              <w:t>序号</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推荐</w:t>
            </w:r>
            <w:r w:rsidR="00E94A3F">
              <w:rPr>
                <w:rFonts w:ascii="华文楷体" w:eastAsia="华文楷体" w:hAnsi="华文楷体" w:cs="宋体" w:hint="eastAsia"/>
                <w:b/>
                <w:bCs/>
                <w:kern w:val="0"/>
                <w:sz w:val="20"/>
                <w:szCs w:val="20"/>
              </w:rPr>
              <w:t>单位</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FD7FAA" w:rsidRPr="0090121F" w:rsidRDefault="00FD7FAA" w:rsidP="00795226">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项目名称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项目负责人</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24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上海市高校日语专业赴日交换留学项目现状调查</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伏蓉琳</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25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幻方的性质探究及应用</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付颖</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26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上海市区店招店牌分类设计研究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龚向华</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27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青年</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从高校校园戏剧生态看青年文化发展</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顾涵婷</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28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关于高校文科专业学生干部职业期待的研究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顾静</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29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音乐</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音乐疗法对自闭症儿童的康复效用</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顾恺之</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30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城市化进程中存在的外来务工人员住房问题——基于上海市徐汇区与郑州市二七区的调研报告</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韩辰</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31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大学生代购现状调查</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韩佳芸</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32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法政</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基于《教学研究通讯》编印的专业知识养成方式探索</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赫婧</w:t>
            </w:r>
            <w:proofErr w:type="gramEnd"/>
            <w:r w:rsidRPr="0090121F">
              <w:rPr>
                <w:rFonts w:ascii="华文楷体" w:eastAsia="华文楷体" w:hAnsi="华文楷体" w:cs="宋体" w:hint="eastAsia"/>
                <w:kern w:val="0"/>
                <w:sz w:val="20"/>
                <w:szCs w:val="20"/>
              </w:rPr>
              <w:t>如</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33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谢晋</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谢</w:t>
            </w:r>
            <w:proofErr w:type="gramStart"/>
            <w:r w:rsidRPr="0090121F">
              <w:rPr>
                <w:rFonts w:ascii="华文楷体" w:eastAsia="华文楷体" w:hAnsi="华文楷体" w:cs="宋体" w:hint="eastAsia"/>
                <w:kern w:val="0"/>
                <w:sz w:val="20"/>
                <w:szCs w:val="20"/>
              </w:rPr>
              <w:t>晋精神</w:t>
            </w:r>
            <w:proofErr w:type="gramEnd"/>
            <w:r w:rsidRPr="0090121F">
              <w:rPr>
                <w:rFonts w:ascii="华文楷体" w:eastAsia="华文楷体" w:hAnsi="华文楷体" w:cs="宋体" w:hint="eastAsia"/>
                <w:kern w:val="0"/>
                <w:sz w:val="20"/>
                <w:szCs w:val="20"/>
              </w:rPr>
              <w:t>对当代艺术类大学生和</w:t>
            </w:r>
            <w:proofErr w:type="gramStart"/>
            <w:r w:rsidRPr="0090121F">
              <w:rPr>
                <w:rFonts w:ascii="华文楷体" w:eastAsia="华文楷体" w:hAnsi="华文楷体" w:cs="宋体" w:hint="eastAsia"/>
                <w:kern w:val="0"/>
                <w:sz w:val="20"/>
                <w:szCs w:val="20"/>
              </w:rPr>
              <w:t>艺考生</w:t>
            </w:r>
            <w:proofErr w:type="gramEnd"/>
            <w:r w:rsidRPr="0090121F">
              <w:rPr>
                <w:rFonts w:ascii="华文楷体" w:eastAsia="华文楷体" w:hAnsi="华文楷体" w:cs="宋体" w:hint="eastAsia"/>
                <w:kern w:val="0"/>
                <w:sz w:val="20"/>
                <w:szCs w:val="20"/>
              </w:rPr>
              <w:t>的影响研究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洪宸</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34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教师资格证“国考”标准下的师范教育应对研究——以X校为例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洪晴</w:t>
            </w:r>
            <w:proofErr w:type="gramStart"/>
            <w:r w:rsidRPr="0090121F">
              <w:rPr>
                <w:rFonts w:ascii="华文楷体" w:eastAsia="华文楷体" w:hAnsi="华文楷体" w:cs="宋体" w:hint="eastAsia"/>
                <w:kern w:val="0"/>
                <w:sz w:val="20"/>
                <w:szCs w:val="20"/>
              </w:rPr>
              <w:t>晴</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35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一种用于提高硅太阳能电池效率的近红外发光薄膜的研究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侯君涵</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36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对外</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大学校园语言暴力及其社会心理问题研究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华晓翀</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37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w:t>
            </w:r>
            <w:proofErr w:type="spellStart"/>
            <w:r w:rsidRPr="0090121F">
              <w:rPr>
                <w:rFonts w:ascii="华文楷体" w:eastAsia="华文楷体" w:hAnsi="华文楷体" w:cs="宋体" w:hint="eastAsia"/>
                <w:kern w:val="0"/>
                <w:sz w:val="20"/>
                <w:szCs w:val="20"/>
              </w:rPr>
              <w:t>LabVIEW</w:t>
            </w:r>
            <w:proofErr w:type="spellEnd"/>
            <w:r w:rsidRPr="0090121F">
              <w:rPr>
                <w:rFonts w:ascii="华文楷体" w:eastAsia="华文楷体" w:hAnsi="华文楷体" w:cs="宋体" w:hint="eastAsia"/>
                <w:kern w:val="0"/>
                <w:sz w:val="20"/>
                <w:szCs w:val="20"/>
              </w:rPr>
              <w:t>的“汤姆猫”系统设计</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黄寒雪</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38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关于推广大学生入学第一年不分专业的调查研究报告</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黄建平</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39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旅游</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上海市慢速交通布局合理性研究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黄诗怡</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40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对外</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上海“本地话”生存状况调查</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黄雯静</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41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图化数字</w:t>
            </w:r>
            <w:proofErr w:type="gramEnd"/>
            <w:r w:rsidRPr="0090121F">
              <w:rPr>
                <w:rFonts w:ascii="华文楷体" w:eastAsia="华文楷体" w:hAnsi="华文楷体" w:cs="宋体" w:hint="eastAsia"/>
                <w:kern w:val="0"/>
                <w:sz w:val="20"/>
                <w:szCs w:val="20"/>
              </w:rPr>
              <w:t>、数列</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季鑫</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42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关于我国中部三线城市闲置房产状况的调查研究报告——以山西大同市为例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贾昊阳</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43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上海小学课程改革的口述史研究——以上海四所小学为例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贾菁</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44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关于大学新生如何衔接大学与高中数学学习的研究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姜</w:t>
            </w:r>
            <w:proofErr w:type="gramStart"/>
            <w:r w:rsidRPr="0090121F">
              <w:rPr>
                <w:rFonts w:ascii="华文楷体" w:eastAsia="华文楷体" w:hAnsi="华文楷体" w:cs="宋体" w:hint="eastAsia"/>
                <w:kern w:val="0"/>
                <w:sz w:val="20"/>
                <w:szCs w:val="20"/>
              </w:rPr>
              <w:t>浩</w:t>
            </w:r>
            <w:proofErr w:type="gramEnd"/>
            <w:r w:rsidRPr="0090121F">
              <w:rPr>
                <w:rFonts w:ascii="华文楷体" w:eastAsia="华文楷体" w:hAnsi="华文楷体" w:cs="宋体" w:hint="eastAsia"/>
                <w:kern w:val="0"/>
                <w:sz w:val="20"/>
                <w:szCs w:val="20"/>
              </w:rPr>
              <w:t>哲</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45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法政</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大学生网上立法意见征求参与度的调研</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姜悦</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46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音乐能力对大学生英语学习的影响</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蒋文漪</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47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“形象性输入”在外语单词记忆和上课内容理解中的重要作用</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解琴</w:t>
            </w:r>
            <w:proofErr w:type="gramEnd"/>
          </w:p>
        </w:tc>
      </w:tr>
      <w:tr w:rsidR="00FD7FAA" w:rsidRPr="0090121F" w:rsidTr="00FD7FAA">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48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市属本科高校坐班答疑制度实施中的问题与对策——以上海师范大学教育学院为个案</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金 兰</w:t>
            </w:r>
          </w:p>
        </w:tc>
      </w:tr>
      <w:tr w:rsidR="00FD7FAA" w:rsidRPr="0090121F" w:rsidTr="00FD7FAA">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lastRenderedPageBreak/>
              <w:t>序号</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推荐</w:t>
            </w:r>
            <w:r w:rsidR="00E94A3F">
              <w:rPr>
                <w:rFonts w:ascii="华文楷体" w:eastAsia="华文楷体" w:hAnsi="华文楷体" w:cs="宋体" w:hint="eastAsia"/>
                <w:b/>
                <w:bCs/>
                <w:kern w:val="0"/>
                <w:sz w:val="20"/>
                <w:szCs w:val="20"/>
              </w:rPr>
              <w:t>单位</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FD7FAA" w:rsidRPr="0090121F" w:rsidRDefault="00FD7FAA" w:rsidP="00795226">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项目名称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项目负责人</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49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基于抗氧化活性指纹图谱的药食</w:t>
            </w:r>
            <w:proofErr w:type="gramStart"/>
            <w:r w:rsidRPr="0090121F">
              <w:rPr>
                <w:rFonts w:ascii="华文楷体" w:eastAsia="华文楷体" w:hAnsi="华文楷体" w:cs="宋体" w:hint="eastAsia"/>
                <w:kern w:val="0"/>
                <w:sz w:val="20"/>
                <w:szCs w:val="20"/>
              </w:rPr>
              <w:t>两用广</w:t>
            </w:r>
            <w:proofErr w:type="gramEnd"/>
            <w:r w:rsidRPr="0090121F">
              <w:rPr>
                <w:rFonts w:ascii="华文楷体" w:eastAsia="华文楷体" w:hAnsi="华文楷体" w:cs="宋体" w:hint="eastAsia"/>
                <w:kern w:val="0"/>
                <w:sz w:val="20"/>
                <w:szCs w:val="20"/>
              </w:rPr>
              <w:t>陈皮的质量控制研究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金秋艳</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具有除菌</w:t>
            </w:r>
            <w:proofErr w:type="gramStart"/>
            <w:r w:rsidRPr="0090121F">
              <w:rPr>
                <w:rFonts w:ascii="华文楷体" w:eastAsia="华文楷体" w:hAnsi="华文楷体" w:cs="宋体" w:hint="eastAsia"/>
                <w:kern w:val="0"/>
                <w:sz w:val="20"/>
                <w:szCs w:val="20"/>
              </w:rPr>
              <w:t>富氢功能</w:t>
            </w:r>
            <w:proofErr w:type="gramEnd"/>
            <w:r w:rsidRPr="0090121F">
              <w:rPr>
                <w:rFonts w:ascii="华文楷体" w:eastAsia="华文楷体" w:hAnsi="华文楷体" w:cs="宋体" w:hint="eastAsia"/>
                <w:kern w:val="0"/>
                <w:sz w:val="20"/>
                <w:szCs w:val="20"/>
              </w:rPr>
              <w:t>净水器的研制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金怡晨</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51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大学生对专业心理咨询偏见对其求助行为的影响——以上海市大学生为例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金亦晨</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52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四旋翼飞行器轨迹控制及其实际应用技术的探索与研究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晋芳</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53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人文</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竞争压力下媒体新闻伦理的缺失及其对策研究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居霄辰</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54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重晶石粉末表面改性研究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雷廷廷</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55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谢晋</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上海市群众演员的生存现状调查研究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李冰洁</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56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国家对贪污腐败的打击与公务员报考情况关系分析</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李根</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57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新型螺栓设计、加工及拧紧方法研究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李嘉君</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58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基于MOOC资源的本科混合型上课模式研究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李洁</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59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马院</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上海市松江区中小学开展社会主义核心价值观教育活动现状调研</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李武枫</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60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视听结合——奏响音乐的钟摆波</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李晓温</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61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青年</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防灾减灾“课”不容缓——江浙沪大学生灾难教育现状及反思</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李欣</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62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体育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急性正</w:t>
            </w:r>
            <w:proofErr w:type="gramStart"/>
            <w:r w:rsidRPr="0090121F">
              <w:rPr>
                <w:rFonts w:ascii="华文楷体" w:eastAsia="华文楷体" w:hAnsi="华文楷体" w:cs="宋体" w:hint="eastAsia"/>
                <w:kern w:val="0"/>
                <w:sz w:val="20"/>
                <w:szCs w:val="20"/>
              </w:rPr>
              <w:t>念运动</w:t>
            </w:r>
            <w:proofErr w:type="gramEnd"/>
            <w:r w:rsidRPr="0090121F">
              <w:rPr>
                <w:rFonts w:ascii="华文楷体" w:eastAsia="华文楷体" w:hAnsi="华文楷体" w:cs="宋体" w:hint="eastAsia"/>
                <w:kern w:val="0"/>
                <w:sz w:val="20"/>
                <w:szCs w:val="20"/>
              </w:rPr>
              <w:t>对青少年焦虑、抑郁的影响实验研究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李雪婷</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63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团委</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“夜上海”海派民间艺术公益创业</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梁静雯</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64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旅游</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基于遥感影像的上海市人口密度时空分布研究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林诗琦</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65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三点弯小试样测试材料性能的研究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林文杰</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66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青年</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上海市中学生课堂安全感的现状、影响因素及对策研究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林云</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67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体育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太极拳对老年高血压患者炎症因子的干预作用研究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 xml:space="preserve">刘春 </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68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3D打印技术在特殊教育中的应用</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刘丹</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69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基于MOOC平台的促进学生自主学习教学材料的开发——以初中数学为例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刘露</w:t>
            </w:r>
            <w:proofErr w:type="gramStart"/>
            <w:r w:rsidRPr="0090121F">
              <w:rPr>
                <w:rFonts w:ascii="华文楷体" w:eastAsia="华文楷体" w:hAnsi="华文楷体" w:cs="宋体" w:hint="eastAsia"/>
                <w:kern w:val="0"/>
                <w:sz w:val="20"/>
                <w:szCs w:val="20"/>
              </w:rPr>
              <w:t>邑</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70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地铁1号线公益广告宣传优化策略</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刘明</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71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老人及子女在养老方式观点上的差异性调查与研究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刘佩</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72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法政</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未成年人整容法律保护问题研究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刘山山</w:t>
            </w:r>
          </w:p>
        </w:tc>
      </w:tr>
      <w:tr w:rsidR="00FD7FAA" w:rsidRPr="0090121F" w:rsidTr="00FD7FAA">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73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大学生学习自主性缺失状态及其影响因素的调查研究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刘童心</w:t>
            </w:r>
          </w:p>
        </w:tc>
      </w:tr>
      <w:tr w:rsidR="00FD7FAA" w:rsidRPr="0090121F" w:rsidTr="00FD7FAA">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lastRenderedPageBreak/>
              <w:t>序号</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推荐</w:t>
            </w:r>
            <w:r w:rsidR="00E94A3F">
              <w:rPr>
                <w:rFonts w:ascii="华文楷体" w:eastAsia="华文楷体" w:hAnsi="华文楷体" w:cs="宋体" w:hint="eastAsia"/>
                <w:b/>
                <w:bCs/>
                <w:kern w:val="0"/>
                <w:sz w:val="20"/>
                <w:szCs w:val="20"/>
              </w:rPr>
              <w:t>单位</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FD7FAA" w:rsidRPr="0090121F" w:rsidRDefault="00FD7FAA" w:rsidP="00795226">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项目名称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项目负责人</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74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旅游</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不同的绿化背景下的城市道路噪声污染调查</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刘潇忆</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75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谢晋</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新媒体时代广播电视编导专业就业现状分析及前景初探</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刘晓艺</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76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谢晋</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华夏有衣，襟带天地（汉民族传统服饰的研究与传承）——纪录片《汉服》</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刘悦佳</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77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金砖养老</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卢璐</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78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大学食堂管理模式新概念——以上师大为例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卢雯</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79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用于环境振动能量回收的铁电纳米纤维的制备与调控</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陆斌</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80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关于小学校本课程开发实施的研究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陆鹏程</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81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建工</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w:t>
            </w:r>
            <w:proofErr w:type="gramStart"/>
            <w:r w:rsidRPr="0090121F">
              <w:rPr>
                <w:rFonts w:ascii="华文楷体" w:eastAsia="华文楷体" w:hAnsi="华文楷体" w:cs="宋体" w:hint="eastAsia"/>
                <w:kern w:val="0"/>
                <w:sz w:val="20"/>
                <w:szCs w:val="20"/>
              </w:rPr>
              <w:t>榫</w:t>
            </w:r>
            <w:proofErr w:type="gramEnd"/>
            <w:r w:rsidRPr="0090121F">
              <w:rPr>
                <w:rFonts w:ascii="华文楷体" w:eastAsia="华文楷体" w:hAnsi="华文楷体" w:cs="宋体" w:hint="eastAsia"/>
                <w:kern w:val="0"/>
                <w:sz w:val="20"/>
                <w:szCs w:val="20"/>
              </w:rPr>
              <w:t>卯连接的新型钢结构框架体系的研究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陆挺</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82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上师大优育稻米与市售稻米在感官属性上的比较研究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陆怡洁</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83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无线充电器技术在移动电源上的应用</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罗贤章</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84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 电视剧，想说爱你不容易——基于上海大学生媒体消费现状的调查及分析报告 </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color w:val="000000"/>
                <w:kern w:val="0"/>
                <w:sz w:val="20"/>
                <w:szCs w:val="20"/>
              </w:rPr>
            </w:pPr>
            <w:proofErr w:type="gramStart"/>
            <w:r w:rsidRPr="0090121F">
              <w:rPr>
                <w:rFonts w:ascii="华文楷体" w:eastAsia="华文楷体" w:hAnsi="华文楷体" w:cs="宋体" w:hint="eastAsia"/>
                <w:color w:val="000000"/>
                <w:kern w:val="0"/>
                <w:sz w:val="20"/>
                <w:szCs w:val="20"/>
              </w:rPr>
              <w:t>罗瑶</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85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对外</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对外汉语教材中的成语教学研究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 xml:space="preserve">罗子萱 </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86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上海各餐牌翻译状况</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马晓丽</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87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非英语专业学生自主学习能力的状况调查</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马悦昕</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88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微信平台</w:t>
            </w:r>
            <w:proofErr w:type="gramEnd"/>
            <w:r w:rsidRPr="0090121F">
              <w:rPr>
                <w:rFonts w:ascii="华文楷体" w:eastAsia="华文楷体" w:hAnsi="华文楷体" w:cs="宋体" w:hint="eastAsia"/>
                <w:kern w:val="0"/>
                <w:sz w:val="20"/>
                <w:szCs w:val="20"/>
              </w:rPr>
              <w:t>在艺术学院学生中的运用</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毛文静</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89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居家环境中的绿色空间可持续设计（从水生生态系统的造型和能源节约角度出发）</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倪慧琳</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90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哲学</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在通识教育兴起的背景下高校政治理论课的困境及其出路---以上海师范大学为例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潘</w:t>
            </w:r>
            <w:proofErr w:type="gramEnd"/>
            <w:r w:rsidRPr="0090121F">
              <w:rPr>
                <w:rFonts w:ascii="华文楷体" w:eastAsia="华文楷体" w:hAnsi="华文楷体" w:cs="宋体" w:hint="eastAsia"/>
                <w:kern w:val="0"/>
                <w:sz w:val="20"/>
                <w:szCs w:val="20"/>
              </w:rPr>
              <w:t>玥杉</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91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青年</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从“中国汉字听写大会”看上海市大学生对于汉字与当今社会文化传承的思考</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祁菲</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92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色</w:t>
            </w:r>
            <w:proofErr w:type="gramStart"/>
            <w:r w:rsidRPr="0090121F">
              <w:rPr>
                <w:rFonts w:ascii="华文楷体" w:eastAsia="华文楷体" w:hAnsi="华文楷体" w:cs="宋体" w:hint="eastAsia"/>
                <w:kern w:val="0"/>
                <w:sz w:val="20"/>
                <w:szCs w:val="20"/>
              </w:rPr>
              <w:t>粉材料</w:t>
            </w:r>
            <w:proofErr w:type="gramEnd"/>
            <w:r w:rsidRPr="0090121F">
              <w:rPr>
                <w:rFonts w:ascii="华文楷体" w:eastAsia="华文楷体" w:hAnsi="华文楷体" w:cs="宋体" w:hint="eastAsia"/>
                <w:kern w:val="0"/>
                <w:sz w:val="20"/>
                <w:szCs w:val="20"/>
              </w:rPr>
              <w:t>历史画创作技法研究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钱婷</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93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体育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探究中国青少年高尔夫“爆发式”发展的利与弊</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曲桦</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94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艺术家居——版画艺术走向生活空间</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荣静薇</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95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建工</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基于陶瓷载体生物膜反应器的脱氮动力学研究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 xml:space="preserve">尚 </w:t>
            </w:r>
            <w:proofErr w:type="gramStart"/>
            <w:r w:rsidRPr="0090121F">
              <w:rPr>
                <w:rFonts w:ascii="华文楷体" w:eastAsia="华文楷体" w:hAnsi="华文楷体" w:cs="宋体" w:hint="eastAsia"/>
                <w:kern w:val="0"/>
                <w:sz w:val="20"/>
                <w:szCs w:val="20"/>
              </w:rPr>
              <w:t>莉</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96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校园智能手环</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邵戌</w:t>
            </w:r>
            <w:proofErr w:type="gramEnd"/>
            <w:r w:rsidRPr="0090121F">
              <w:rPr>
                <w:rFonts w:ascii="华文楷体" w:eastAsia="华文楷体" w:hAnsi="华文楷体" w:cs="宋体" w:hint="eastAsia"/>
                <w:kern w:val="0"/>
                <w:sz w:val="20"/>
                <w:szCs w:val="20"/>
              </w:rPr>
              <w:t>恩</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97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基于微控制器的自反馈即时液体变温装置研究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沈君豪</w:t>
            </w:r>
            <w:proofErr w:type="gramEnd"/>
          </w:p>
        </w:tc>
      </w:tr>
      <w:tr w:rsidR="00FD7FAA" w:rsidRPr="0090121F" w:rsidTr="00FD7FAA">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98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月份牌以及其中旗袍样式的研究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沈磊</w:t>
            </w:r>
          </w:p>
        </w:tc>
      </w:tr>
      <w:tr w:rsidR="00FD7FAA" w:rsidRPr="0090121F" w:rsidTr="00FD7FAA">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lastRenderedPageBreak/>
              <w:t>序号</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推荐</w:t>
            </w:r>
            <w:r w:rsidR="00E94A3F">
              <w:rPr>
                <w:rFonts w:ascii="华文楷体" w:eastAsia="华文楷体" w:hAnsi="华文楷体" w:cs="宋体" w:hint="eastAsia"/>
                <w:b/>
                <w:bCs/>
                <w:kern w:val="0"/>
                <w:sz w:val="20"/>
                <w:szCs w:val="20"/>
              </w:rPr>
              <w:t>单位</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D7FAA" w:rsidRPr="0090121F" w:rsidRDefault="00FD7FAA" w:rsidP="00795226">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项目名称</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项目负责人</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99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上海外来务工子女幼儿园现状分析与研究——以上海市奉贤区为例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沈瑜佳</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100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上海师范大学手绘地图</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沈朱佳</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101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体育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健身气功易筋经对大学生心理健康的影响——以上海师范大学为例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史妙虹</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102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法政</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移动支付的法律风险及解决措施</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史蓉</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103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可穿戴式远程医疗心电信号智能检测终端的研发</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孙斌</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104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针对外教在线一对一教学新模式的研究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孙中源</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105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青年</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女大学生应对公共安全危机意识与能力调查</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谈珺</w:t>
            </w:r>
            <w:proofErr w:type="gramStart"/>
            <w:r w:rsidRPr="0090121F">
              <w:rPr>
                <w:rFonts w:ascii="华文楷体" w:eastAsia="华文楷体" w:hAnsi="华文楷体" w:cs="宋体" w:hint="eastAsia"/>
                <w:kern w:val="0"/>
                <w:sz w:val="20"/>
                <w:szCs w:val="20"/>
              </w:rPr>
              <w:t>嫣</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106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高磁场条件下稀土（</w:t>
            </w:r>
            <w:proofErr w:type="spellStart"/>
            <w:r w:rsidRPr="0090121F">
              <w:rPr>
                <w:rFonts w:ascii="华文楷体" w:eastAsia="华文楷体" w:hAnsi="华文楷体" w:cs="宋体" w:hint="eastAsia"/>
                <w:kern w:val="0"/>
                <w:sz w:val="20"/>
                <w:szCs w:val="20"/>
              </w:rPr>
              <w:t>Ho,Er</w:t>
            </w:r>
            <w:proofErr w:type="spellEnd"/>
            <w:r w:rsidRPr="0090121F">
              <w:rPr>
                <w:rFonts w:ascii="华文楷体" w:eastAsia="华文楷体" w:hAnsi="华文楷体" w:cs="宋体" w:hint="eastAsia"/>
                <w:kern w:val="0"/>
                <w:sz w:val="20"/>
                <w:szCs w:val="20"/>
              </w:rPr>
              <w:t>）配合物作为磁共振成像对比剂的研究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谭静</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107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英语改革下字幕组对英语语言学习的影响</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汤卓裔</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108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新概念英语学习对英语校本教材学习的影响</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唐芳芸</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109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中国剪纸艺术在现代标志设计中的融合与运用</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田芳洲</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110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人文</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当代儿童</w:t>
            </w:r>
            <w:proofErr w:type="gramStart"/>
            <w:r w:rsidRPr="0090121F">
              <w:rPr>
                <w:rFonts w:ascii="华文楷体" w:eastAsia="华文楷体" w:hAnsi="华文楷体" w:cs="宋体" w:hint="eastAsia"/>
                <w:kern w:val="0"/>
                <w:sz w:val="20"/>
                <w:szCs w:val="20"/>
              </w:rPr>
              <w:t>绘本阅读</w:t>
            </w:r>
            <w:proofErr w:type="gramEnd"/>
            <w:r w:rsidRPr="0090121F">
              <w:rPr>
                <w:rFonts w:ascii="华文楷体" w:eastAsia="华文楷体" w:hAnsi="华文楷体" w:cs="宋体" w:hint="eastAsia"/>
                <w:kern w:val="0"/>
                <w:sz w:val="20"/>
                <w:szCs w:val="20"/>
              </w:rPr>
              <w:t>状况的分析与调研</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屠静</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111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人文</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世纪遗产光影录——以古老铁盐蓝晒</w:t>
            </w:r>
            <w:proofErr w:type="gramStart"/>
            <w:r w:rsidRPr="0090121F">
              <w:rPr>
                <w:rFonts w:ascii="华文楷体" w:eastAsia="华文楷体" w:hAnsi="华文楷体" w:cs="宋体" w:hint="eastAsia"/>
                <w:kern w:val="0"/>
                <w:sz w:val="20"/>
                <w:szCs w:val="20"/>
              </w:rPr>
              <w:t>印像法记录</w:t>
            </w:r>
            <w:proofErr w:type="gramEnd"/>
            <w:r w:rsidRPr="0090121F">
              <w:rPr>
                <w:rFonts w:ascii="华文楷体" w:eastAsia="华文楷体" w:hAnsi="华文楷体" w:cs="宋体" w:hint="eastAsia"/>
                <w:kern w:val="0"/>
                <w:sz w:val="20"/>
                <w:szCs w:val="20"/>
              </w:rPr>
              <w:t>上海百年历史老建筑</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屠惟</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112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法政</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上海市虹口区失能老人养老服务需求调查研究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汪倩</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113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基于动画的上海城市形象推广研究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汪盛</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114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新式微型航拍器设计</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王晨磊</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115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龙泉青瓷传承及研发</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王丹</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116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以城乡籍大学生消费差异角度分析城乡差异，为城乡一体化提供参考——以上海师范大学为例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王冬雪</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117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引导家长正确认识儿童绘画世界初探</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王佳怡</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118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上海市居民文化消费行为分析</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王丽珺</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119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不结球白菜种质资源遗传多样性分析</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王萌</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120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饮食偏好与性格的匹配系统</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王梦雪</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121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法政</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国产电视剧审查的标准与程序</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王清灵</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122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“沪港通”启动的影响及前景研究——基于风险意义及现状的</w:t>
            </w:r>
            <w:proofErr w:type="gramStart"/>
            <w:r w:rsidRPr="0090121F">
              <w:rPr>
                <w:rFonts w:ascii="华文楷体" w:eastAsia="华文楷体" w:hAnsi="华文楷体" w:cs="宋体" w:hint="eastAsia"/>
                <w:color w:val="000000"/>
                <w:kern w:val="0"/>
                <w:sz w:val="20"/>
                <w:szCs w:val="20"/>
              </w:rPr>
              <w:t>的</w:t>
            </w:r>
            <w:proofErr w:type="gramEnd"/>
            <w:r w:rsidRPr="0090121F">
              <w:rPr>
                <w:rFonts w:ascii="华文楷体" w:eastAsia="华文楷体" w:hAnsi="华文楷体" w:cs="宋体" w:hint="eastAsia"/>
                <w:color w:val="000000"/>
                <w:kern w:val="0"/>
                <w:sz w:val="20"/>
                <w:szCs w:val="20"/>
              </w:rPr>
              <w:t>调查研究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王亚卿</w:t>
            </w:r>
          </w:p>
        </w:tc>
      </w:tr>
      <w:tr w:rsidR="00FD7FAA" w:rsidRPr="0090121F" w:rsidTr="00FD7FAA">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123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人文</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上海大学生的专业选择及适应性调查</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王依婷</w:t>
            </w:r>
          </w:p>
        </w:tc>
      </w:tr>
      <w:tr w:rsidR="00FD7FAA" w:rsidRPr="0090121F" w:rsidTr="00FD7FAA">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lastRenderedPageBreak/>
              <w:t>序号</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推荐</w:t>
            </w:r>
            <w:r w:rsidR="00E94A3F">
              <w:rPr>
                <w:rFonts w:ascii="华文楷体" w:eastAsia="华文楷体" w:hAnsi="华文楷体" w:cs="宋体" w:hint="eastAsia"/>
                <w:b/>
                <w:bCs/>
                <w:kern w:val="0"/>
                <w:sz w:val="20"/>
                <w:szCs w:val="20"/>
              </w:rPr>
              <w:t>单位</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FD7FAA" w:rsidRPr="0090121F" w:rsidRDefault="00FD7FAA" w:rsidP="00795226">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项目名称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项目负责人</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124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基于89C51单片机的智能风扇系统</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王正</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125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谢晋</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核心价值体系在低龄化人群</w:t>
            </w:r>
            <w:proofErr w:type="gramStart"/>
            <w:r w:rsidRPr="0090121F">
              <w:rPr>
                <w:rFonts w:ascii="华文楷体" w:eastAsia="华文楷体" w:hAnsi="华文楷体" w:cs="宋体" w:hint="eastAsia"/>
                <w:kern w:val="0"/>
                <w:sz w:val="20"/>
                <w:szCs w:val="20"/>
              </w:rPr>
              <w:t>践行</w:t>
            </w:r>
            <w:proofErr w:type="gramEnd"/>
            <w:r w:rsidRPr="0090121F">
              <w:rPr>
                <w:rFonts w:ascii="华文楷体" w:eastAsia="华文楷体" w:hAnsi="华文楷体" w:cs="宋体" w:hint="eastAsia"/>
                <w:kern w:val="0"/>
                <w:sz w:val="20"/>
                <w:szCs w:val="20"/>
              </w:rPr>
              <w:t>研究——以低龄化粉丝拥</w:t>
            </w:r>
            <w:proofErr w:type="gramStart"/>
            <w:r w:rsidRPr="0090121F">
              <w:rPr>
                <w:rFonts w:ascii="华文楷体" w:eastAsia="华文楷体" w:hAnsi="华文楷体" w:cs="宋体" w:hint="eastAsia"/>
                <w:kern w:val="0"/>
                <w:sz w:val="20"/>
                <w:szCs w:val="20"/>
              </w:rPr>
              <w:t>趸现象</w:t>
            </w:r>
            <w:proofErr w:type="gramEnd"/>
            <w:r w:rsidRPr="0090121F">
              <w:rPr>
                <w:rFonts w:ascii="华文楷体" w:eastAsia="华文楷体" w:hAnsi="华文楷体" w:cs="宋体" w:hint="eastAsia"/>
                <w:kern w:val="0"/>
                <w:sz w:val="20"/>
                <w:szCs w:val="20"/>
              </w:rPr>
              <w:t>为开端</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王子墨</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126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旅游</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上海崇明土壤的盐分时空动态分布特征研究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文伟析</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127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团委</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“植物宝贝”APP的开发与推广</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吴亚楠</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128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建工</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以竹基纤维材料（竹钢）作为梁下侧受拉筋的可行性分析</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谢吉明</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129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基于充电宝的电路原理分析及优化设计</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谢俊良</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130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生物污水处理新思路</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谢恬颖</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131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对外</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大学课堂里教师指令语的言语行为分析与研究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谢歆语</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132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共青团组织视觉识别系统应用设计研究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谢永晴</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133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上海市大学生利用手机进行移动学习的现状研究——以海湾三校为例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熊丽智</w:t>
            </w:r>
            <w:proofErr w:type="gramEnd"/>
            <w:r w:rsidRPr="0090121F">
              <w:rPr>
                <w:rFonts w:ascii="华文楷体" w:eastAsia="华文楷体" w:hAnsi="华文楷体" w:cs="宋体" w:hint="eastAsia"/>
                <w:kern w:val="0"/>
                <w:sz w:val="20"/>
                <w:szCs w:val="20"/>
              </w:rPr>
              <w:t xml:space="preserve"> </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134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上海市小学教师职业幸福感评价研究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须</w:t>
            </w:r>
            <w:proofErr w:type="gramStart"/>
            <w:r w:rsidRPr="0090121F">
              <w:rPr>
                <w:rFonts w:ascii="华文楷体" w:eastAsia="华文楷体" w:hAnsi="华文楷体" w:cs="宋体" w:hint="eastAsia"/>
                <w:kern w:val="0"/>
                <w:sz w:val="20"/>
                <w:szCs w:val="20"/>
              </w:rPr>
              <w:t>烨琛</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135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体育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上海市高等院校与社区体育资源共享现状调查研究——以奉贤区海湾三所高校为例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徐</w:t>
            </w:r>
            <w:proofErr w:type="gramStart"/>
            <w:r w:rsidRPr="0090121F">
              <w:rPr>
                <w:rFonts w:ascii="华文楷体" w:eastAsia="华文楷体" w:hAnsi="华文楷体" w:cs="宋体" w:hint="eastAsia"/>
                <w:kern w:val="0"/>
                <w:sz w:val="20"/>
                <w:szCs w:val="20"/>
              </w:rPr>
              <w:t>浩</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136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color w:val="000000"/>
                <w:kern w:val="0"/>
                <w:sz w:val="20"/>
                <w:szCs w:val="20"/>
              </w:rPr>
            </w:pPr>
            <w:r w:rsidRPr="0090121F">
              <w:rPr>
                <w:rFonts w:ascii="华文楷体" w:eastAsia="华文楷体" w:hAnsi="华文楷体" w:cs="宋体" w:hint="eastAsia"/>
                <w:color w:val="000000"/>
                <w:kern w:val="0"/>
                <w:sz w:val="20"/>
                <w:szCs w:val="20"/>
              </w:rPr>
              <w:t>从上海自贸区建设看上海师范大学人才培养目标</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color w:val="000000"/>
                <w:kern w:val="0"/>
                <w:sz w:val="20"/>
                <w:szCs w:val="20"/>
              </w:rPr>
            </w:pPr>
            <w:proofErr w:type="gramStart"/>
            <w:r w:rsidRPr="0090121F">
              <w:rPr>
                <w:rFonts w:ascii="华文楷体" w:eastAsia="华文楷体" w:hAnsi="华文楷体" w:cs="宋体" w:hint="eastAsia"/>
                <w:color w:val="000000"/>
                <w:kern w:val="0"/>
                <w:sz w:val="20"/>
                <w:szCs w:val="20"/>
              </w:rPr>
              <w:t>徐梦晨</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137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哲学</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大学生网络消费的现状与趋势——以上海市大学生为例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 xml:space="preserve">徐小文       </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138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上海地区外语专业学生能力培养及就业现状抽样调查——以日语专业和英语专业为例</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徐欣怡</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139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体育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上海市校园足球布点初中球队建设现状研究—以上海市首批布点的33所初中学校为例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徐玥颖</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140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上海市小学男教师的专业发展特点、优势与问题——以上海师范大学小学教育专业为例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徐子豪</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141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体育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上海市中小学体育教师职业倦怠现状调查与分析——以上海市为例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许爱莲子</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142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师范生信息技术素养的调查分析与研究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许玲玲</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143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具有三维正交刚性结构的手性荧光试剂的合成以及在手性氨基酸识别上的应用</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许容华</w:t>
            </w:r>
            <w:proofErr w:type="gramEnd"/>
            <w:r w:rsidRPr="0090121F">
              <w:rPr>
                <w:rFonts w:ascii="华文楷体" w:eastAsia="华文楷体" w:hAnsi="华文楷体" w:cs="宋体" w:hint="eastAsia"/>
                <w:kern w:val="0"/>
                <w:sz w:val="20"/>
                <w:szCs w:val="20"/>
              </w:rPr>
              <w:t xml:space="preserve">     </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144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学园区供水安全状况监测与对策研究——以上海师大奉贤校区为例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许哲</w:t>
            </w:r>
            <w:proofErr w:type="gramStart"/>
            <w:r w:rsidRPr="0090121F">
              <w:rPr>
                <w:rFonts w:ascii="华文楷体" w:eastAsia="华文楷体" w:hAnsi="华文楷体" w:cs="宋体" w:hint="eastAsia"/>
                <w:kern w:val="0"/>
                <w:sz w:val="20"/>
                <w:szCs w:val="20"/>
              </w:rPr>
              <w:t>一</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145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015上海国际花展——上师大园艺专业参展方案：立体绿化设计</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 xml:space="preserve">许哲怡 </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146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以竹材代木材在室内装修上的可行性研究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宣姝怡</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147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上海市社会私立少儿培训机构开设课程调查研究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杨芳</w:t>
            </w:r>
          </w:p>
        </w:tc>
      </w:tr>
      <w:tr w:rsidR="00FD7FAA" w:rsidRPr="0090121F" w:rsidTr="00FD7FAA">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148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基于小分子荧光探针的新型荧光偏振传感器构建及其应用</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杨灏天</w:t>
            </w:r>
          </w:p>
        </w:tc>
      </w:tr>
      <w:tr w:rsidR="00FD7FAA" w:rsidRPr="0090121F" w:rsidTr="00FD7FAA">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lastRenderedPageBreak/>
              <w:t>序号</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推荐</w:t>
            </w:r>
            <w:r w:rsidR="00E94A3F">
              <w:rPr>
                <w:rFonts w:ascii="华文楷体" w:eastAsia="华文楷体" w:hAnsi="华文楷体" w:cs="宋体" w:hint="eastAsia"/>
                <w:b/>
                <w:bCs/>
                <w:kern w:val="0"/>
                <w:sz w:val="20"/>
                <w:szCs w:val="20"/>
              </w:rPr>
              <w:t>单位</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FD7FAA" w:rsidRPr="0090121F" w:rsidRDefault="00FD7FAA" w:rsidP="00795226">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项目名称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项目负责人</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149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上海金山农民画的形式语言研究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杨沁仪</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150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大学生网络信息过滤、阅读选择及其有效策略的调查研究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杨天舒</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151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关于快速变迁的乡村的公共空间设计</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叶馨</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152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对外</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从流行语的使用及发展分析当代高校</w:t>
            </w:r>
            <w:proofErr w:type="gramStart"/>
            <w:r w:rsidRPr="0090121F">
              <w:rPr>
                <w:rFonts w:ascii="华文楷体" w:eastAsia="华文楷体" w:hAnsi="华文楷体" w:cs="宋体" w:hint="eastAsia"/>
                <w:kern w:val="0"/>
                <w:sz w:val="20"/>
                <w:szCs w:val="20"/>
              </w:rPr>
              <w:t>生心理</w:t>
            </w:r>
            <w:proofErr w:type="gramEnd"/>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于典</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153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一种便捷高效的</w:t>
            </w:r>
            <w:proofErr w:type="gramStart"/>
            <w:r w:rsidRPr="0090121F">
              <w:rPr>
                <w:rFonts w:ascii="华文楷体" w:eastAsia="华文楷体" w:hAnsi="华文楷体" w:cs="宋体" w:hint="eastAsia"/>
                <w:kern w:val="0"/>
                <w:sz w:val="20"/>
                <w:szCs w:val="20"/>
              </w:rPr>
              <w:t>白芨组</w:t>
            </w:r>
            <w:proofErr w:type="gramEnd"/>
            <w:r w:rsidRPr="0090121F">
              <w:rPr>
                <w:rFonts w:ascii="华文楷体" w:eastAsia="华文楷体" w:hAnsi="华文楷体" w:cs="宋体" w:hint="eastAsia"/>
                <w:kern w:val="0"/>
                <w:sz w:val="20"/>
                <w:szCs w:val="20"/>
              </w:rPr>
              <w:t>培苗培养方案的研究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于良瑞</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154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探究音标学习效率最大化的时机</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虞丛莹</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155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谢晋</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三维动画中水墨戏曲元素的运用与创新</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虞礼锋</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156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w:t>
            </w:r>
            <w:proofErr w:type="spellStart"/>
            <w:r w:rsidRPr="0090121F">
              <w:rPr>
                <w:rFonts w:ascii="华文楷体" w:eastAsia="华文楷体" w:hAnsi="华文楷体" w:cs="宋体" w:hint="eastAsia"/>
                <w:kern w:val="0"/>
                <w:sz w:val="20"/>
                <w:szCs w:val="20"/>
              </w:rPr>
              <w:t>luminol-Ag@BSA</w:t>
            </w:r>
            <w:proofErr w:type="spellEnd"/>
            <w:r w:rsidRPr="0090121F">
              <w:rPr>
                <w:rFonts w:ascii="华文楷体" w:eastAsia="华文楷体" w:hAnsi="华文楷体" w:cs="宋体" w:hint="eastAsia"/>
                <w:kern w:val="0"/>
                <w:sz w:val="20"/>
                <w:szCs w:val="20"/>
              </w:rPr>
              <w:t>复合材料的电化学发光传感器及其对CA199的灵敏检测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袁恩汇</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157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小学数学游戏课程开发</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张蓓</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158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建工</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基于红外技术的地铁隧道渗漏检测系统模拟实验</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张川</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159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表面增强拉曼光谱技术快速检测水产品中的抗生素</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张海涛</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160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多肉植物快速繁殖的研究与应用</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张航</w:t>
            </w:r>
            <w:proofErr w:type="gramStart"/>
            <w:r w:rsidRPr="0090121F">
              <w:rPr>
                <w:rFonts w:ascii="华文楷体" w:eastAsia="华文楷体" w:hAnsi="华文楷体" w:cs="宋体" w:hint="eastAsia"/>
                <w:kern w:val="0"/>
                <w:sz w:val="20"/>
                <w:szCs w:val="20"/>
              </w:rPr>
              <w:t>航</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161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旅游</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“景校合一”旅游模式开发策划——以上海市旅游高等专科学校为例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张佳妮</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162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法政</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促进外国商会在华合理发展研究—以上海地区为例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张琳</w:t>
            </w:r>
            <w:proofErr w:type="gramStart"/>
            <w:r w:rsidRPr="0090121F">
              <w:rPr>
                <w:rFonts w:ascii="华文楷体" w:eastAsia="华文楷体" w:hAnsi="华文楷体" w:cs="宋体" w:hint="eastAsia"/>
                <w:kern w:val="0"/>
                <w:sz w:val="20"/>
                <w:szCs w:val="20"/>
              </w:rPr>
              <w:t>琳</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163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模板辅助合成双金属催化剂及其在醇类电催化氧化的研究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 xml:space="preserve">张琦  </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164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基于药食兼用橘皮物质变化规律的“陈久者良”科学内涵和抗抑郁药性相关研究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 xml:space="preserve">张思怡 </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165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人文</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互联网时代初中生课外阅读现状的调查研究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张婷雯</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166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体育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体育运动对出租车司机职业病预防效果的调查研究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张万亮</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167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人文</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“智慧老人”课程研发与推广</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张鑫</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168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探寻色粉的魅力——中德艺术家色粉画交流项目</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张叶诗</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169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信机</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古典建筑夜景太阳能LED无线智能创意灯照明设计</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张奕文</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170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团委</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百分之</w:t>
            </w:r>
            <w:proofErr w:type="gramStart"/>
            <w:r w:rsidRPr="0090121F">
              <w:rPr>
                <w:rFonts w:ascii="华文楷体" w:eastAsia="华文楷体" w:hAnsi="华文楷体" w:cs="宋体" w:hint="eastAsia"/>
                <w:kern w:val="0"/>
                <w:sz w:val="20"/>
                <w:szCs w:val="20"/>
              </w:rPr>
              <w:t>101</w:t>
            </w:r>
            <w:proofErr w:type="gramEnd"/>
            <w:r w:rsidRPr="0090121F">
              <w:rPr>
                <w:rFonts w:ascii="华文楷体" w:eastAsia="华文楷体" w:hAnsi="华文楷体" w:cs="宋体" w:hint="eastAsia"/>
                <w:kern w:val="0"/>
                <w:sz w:val="20"/>
                <w:szCs w:val="20"/>
              </w:rPr>
              <w:t>利用</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 xml:space="preserve">张兆 </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171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对外</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当代大学生言语交际误区与交际技巧分析</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张志玲</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172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体育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不同力量训练形式对男性大学生上肢骨密度的影响</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赵科维</w:t>
            </w:r>
            <w:proofErr w:type="gramEnd"/>
          </w:p>
        </w:tc>
      </w:tr>
      <w:tr w:rsidR="00FD7FAA" w:rsidRPr="0090121F" w:rsidTr="00FD7FAA">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173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建工</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基于滤水功能的停车场地再生混凝土耐压试验研究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赵雨轩</w:t>
            </w:r>
          </w:p>
        </w:tc>
      </w:tr>
      <w:tr w:rsidR="00FD7FAA" w:rsidRPr="0090121F" w:rsidTr="00FD7FAA">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lastRenderedPageBreak/>
              <w:t>序号</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推荐</w:t>
            </w:r>
            <w:r w:rsidR="00E94A3F">
              <w:rPr>
                <w:rFonts w:ascii="华文楷体" w:eastAsia="华文楷体" w:hAnsi="华文楷体" w:cs="宋体" w:hint="eastAsia"/>
                <w:b/>
                <w:bCs/>
                <w:kern w:val="0"/>
                <w:sz w:val="20"/>
                <w:szCs w:val="20"/>
              </w:rPr>
              <w:t>单位</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FD7FAA" w:rsidRPr="0090121F" w:rsidRDefault="00FD7FAA" w:rsidP="00795226">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项目名称</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FD7FAA" w:rsidRPr="0090121F" w:rsidRDefault="00FD7FAA" w:rsidP="005D0010">
            <w:pPr>
              <w:widowControl/>
              <w:jc w:val="center"/>
              <w:rPr>
                <w:rFonts w:ascii="华文楷体" w:eastAsia="华文楷体" w:hAnsi="华文楷体" w:cs="宋体"/>
                <w:b/>
                <w:bCs/>
                <w:kern w:val="0"/>
                <w:sz w:val="20"/>
                <w:szCs w:val="20"/>
              </w:rPr>
            </w:pPr>
            <w:r w:rsidRPr="0090121F">
              <w:rPr>
                <w:rFonts w:ascii="华文楷体" w:eastAsia="华文楷体" w:hAnsi="华文楷体" w:cs="宋体" w:hint="eastAsia"/>
                <w:b/>
                <w:bCs/>
                <w:kern w:val="0"/>
                <w:sz w:val="20"/>
                <w:szCs w:val="20"/>
              </w:rPr>
              <w:t>项目负责人</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174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体育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一线城市青少年肥胖与晚餐膳食情况关系的调查研究-以上海市为例</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赵正远</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175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生物创意标本制作的初步研究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郑玲丽</w:t>
            </w:r>
            <w:proofErr w:type="gramEnd"/>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176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谢晋</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真人与动画结合的研究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周清池</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177</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生环</w:t>
            </w:r>
            <w:proofErr w:type="gramEnd"/>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富硒红豆排毒活性研究</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周卫杰</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178</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大学生兼职现状及问题调查研究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周翌</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179</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体育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主要政策对象对高考体育加分新政策的反馈调研</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朱斌</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180</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古典绘画色粉临摹研究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朱超逸</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181</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教育</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上海地区小学生家庭休闲活动的现状调查</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proofErr w:type="gramStart"/>
            <w:r w:rsidRPr="0090121F">
              <w:rPr>
                <w:rFonts w:ascii="华文楷体" w:eastAsia="华文楷体" w:hAnsi="华文楷体" w:cs="宋体" w:hint="eastAsia"/>
                <w:kern w:val="0"/>
                <w:sz w:val="20"/>
                <w:szCs w:val="20"/>
              </w:rPr>
              <w:t>朱佳莹</w:t>
            </w:r>
            <w:proofErr w:type="gramEnd"/>
            <w:r w:rsidRPr="0090121F">
              <w:rPr>
                <w:rFonts w:ascii="华文楷体" w:eastAsia="华文楷体" w:hAnsi="华文楷体" w:cs="宋体" w:hint="eastAsia"/>
                <w:kern w:val="0"/>
                <w:sz w:val="20"/>
                <w:szCs w:val="20"/>
              </w:rPr>
              <w:t xml:space="preserve"> </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182</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数理</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翻转课堂——让中小学课堂翻转起来</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朱青云</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183</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旅游</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自然条件下家庭装饰材料中甲醛挥发浓度调查</w:t>
            </w:r>
          </w:p>
        </w:tc>
        <w:tc>
          <w:tcPr>
            <w:tcW w:w="1276" w:type="dxa"/>
            <w:tcBorders>
              <w:top w:val="nil"/>
              <w:left w:val="nil"/>
              <w:bottom w:val="single" w:sz="4" w:space="0" w:color="auto"/>
              <w:right w:val="single" w:sz="4" w:space="0" w:color="auto"/>
            </w:tcBorders>
            <w:shd w:val="clear" w:color="000000" w:fill="FFFFFF"/>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朱姝媛</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184</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上海市浦东新区中学课堂教学公平的研究</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朱晓青</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185</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美术</w:t>
            </w:r>
          </w:p>
        </w:tc>
        <w:tc>
          <w:tcPr>
            <w:tcW w:w="7654" w:type="dxa"/>
            <w:tcBorders>
              <w:top w:val="nil"/>
              <w:left w:val="nil"/>
              <w:bottom w:val="single" w:sz="4" w:space="0" w:color="auto"/>
              <w:right w:val="single" w:sz="4" w:space="0" w:color="auto"/>
            </w:tcBorders>
            <w:shd w:val="clear" w:color="auto" w:fill="auto"/>
            <w:noWrap/>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插画在都市生活中的应用</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庄和亮</w:t>
            </w:r>
          </w:p>
        </w:tc>
      </w:tr>
      <w:tr w:rsidR="00FD7FAA" w:rsidRPr="0090121F" w:rsidTr="0090121F">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186</w:t>
            </w:r>
          </w:p>
        </w:tc>
        <w:tc>
          <w:tcPr>
            <w:tcW w:w="1055"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外语</w:t>
            </w:r>
          </w:p>
        </w:tc>
        <w:tc>
          <w:tcPr>
            <w:tcW w:w="7654" w:type="dxa"/>
            <w:tcBorders>
              <w:top w:val="nil"/>
              <w:left w:val="nil"/>
              <w:bottom w:val="single" w:sz="4" w:space="0" w:color="auto"/>
              <w:right w:val="single" w:sz="4" w:space="0" w:color="auto"/>
            </w:tcBorders>
            <w:shd w:val="clear" w:color="auto" w:fill="auto"/>
            <w:vAlign w:val="center"/>
            <w:hideMark/>
          </w:tcPr>
          <w:p w:rsidR="00FD7FAA" w:rsidRPr="0090121F" w:rsidRDefault="00FD7FAA" w:rsidP="0090121F">
            <w:pPr>
              <w:widowControl/>
              <w:jc w:val="left"/>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中国英语教学中忽略的中式英语</w:t>
            </w:r>
          </w:p>
        </w:tc>
        <w:tc>
          <w:tcPr>
            <w:tcW w:w="1276" w:type="dxa"/>
            <w:tcBorders>
              <w:top w:val="nil"/>
              <w:left w:val="nil"/>
              <w:bottom w:val="single" w:sz="4" w:space="0" w:color="auto"/>
              <w:right w:val="single" w:sz="4" w:space="0" w:color="auto"/>
            </w:tcBorders>
            <w:shd w:val="clear" w:color="000000" w:fill="FFFFFF"/>
            <w:noWrap/>
            <w:vAlign w:val="center"/>
            <w:hideMark/>
          </w:tcPr>
          <w:p w:rsidR="00FD7FAA" w:rsidRPr="0090121F" w:rsidRDefault="00FD7FAA" w:rsidP="0090121F">
            <w:pPr>
              <w:widowControl/>
              <w:jc w:val="center"/>
              <w:rPr>
                <w:rFonts w:ascii="华文楷体" w:eastAsia="华文楷体" w:hAnsi="华文楷体" w:cs="宋体"/>
                <w:kern w:val="0"/>
                <w:sz w:val="20"/>
                <w:szCs w:val="20"/>
              </w:rPr>
            </w:pPr>
            <w:r w:rsidRPr="0090121F">
              <w:rPr>
                <w:rFonts w:ascii="华文楷体" w:eastAsia="华文楷体" w:hAnsi="华文楷体" w:cs="宋体" w:hint="eastAsia"/>
                <w:kern w:val="0"/>
                <w:sz w:val="20"/>
                <w:szCs w:val="20"/>
              </w:rPr>
              <w:t>庄佳珏</w:t>
            </w:r>
          </w:p>
        </w:tc>
      </w:tr>
    </w:tbl>
    <w:p w:rsidR="0090121F" w:rsidRDefault="0090121F" w:rsidP="0090121F"/>
    <w:sectPr w:rsidR="0090121F" w:rsidSect="004876AB">
      <w:footerReference w:type="default" r:id="rId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83" w:rsidRDefault="00BA1683" w:rsidP="0090121F">
      <w:r>
        <w:separator/>
      </w:r>
    </w:p>
  </w:endnote>
  <w:endnote w:type="continuationSeparator" w:id="0">
    <w:p w:rsidR="00BA1683" w:rsidRDefault="00BA1683" w:rsidP="009012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68455"/>
      <w:docPartObj>
        <w:docPartGallery w:val="Page Numbers (Bottom of Page)"/>
        <w:docPartUnique/>
      </w:docPartObj>
    </w:sdtPr>
    <w:sdtContent>
      <w:sdt>
        <w:sdtPr>
          <w:id w:val="98381352"/>
          <w:docPartObj>
            <w:docPartGallery w:val="Page Numbers (Top of Page)"/>
            <w:docPartUnique/>
          </w:docPartObj>
        </w:sdtPr>
        <w:sdtContent>
          <w:p w:rsidR="00C54970" w:rsidRDefault="00C54970" w:rsidP="00C54970">
            <w:pPr>
              <w:pStyle w:val="a4"/>
              <w:jc w:val="center"/>
            </w:pPr>
            <w:r>
              <w:rPr>
                <w:lang w:val="zh-CN"/>
              </w:rPr>
              <w:t xml:space="preserve"> </w:t>
            </w:r>
            <w:r w:rsidR="008A7559">
              <w:rPr>
                <w:b/>
                <w:sz w:val="24"/>
                <w:szCs w:val="24"/>
              </w:rPr>
              <w:fldChar w:fldCharType="begin"/>
            </w:r>
            <w:r>
              <w:rPr>
                <w:b/>
              </w:rPr>
              <w:instrText>PAGE</w:instrText>
            </w:r>
            <w:r w:rsidR="008A7559">
              <w:rPr>
                <w:b/>
                <w:sz w:val="24"/>
                <w:szCs w:val="24"/>
              </w:rPr>
              <w:fldChar w:fldCharType="separate"/>
            </w:r>
            <w:r w:rsidR="00795226">
              <w:rPr>
                <w:b/>
                <w:noProof/>
              </w:rPr>
              <w:t>8</w:t>
            </w:r>
            <w:r w:rsidR="008A7559">
              <w:rPr>
                <w:b/>
                <w:sz w:val="24"/>
                <w:szCs w:val="24"/>
              </w:rPr>
              <w:fldChar w:fldCharType="end"/>
            </w:r>
            <w:r>
              <w:rPr>
                <w:lang w:val="zh-CN"/>
              </w:rPr>
              <w:t xml:space="preserve"> / </w:t>
            </w:r>
            <w:r w:rsidR="008A7559">
              <w:rPr>
                <w:b/>
                <w:sz w:val="24"/>
                <w:szCs w:val="24"/>
              </w:rPr>
              <w:fldChar w:fldCharType="begin"/>
            </w:r>
            <w:r>
              <w:rPr>
                <w:b/>
              </w:rPr>
              <w:instrText>NUMPAGES</w:instrText>
            </w:r>
            <w:r w:rsidR="008A7559">
              <w:rPr>
                <w:b/>
                <w:sz w:val="24"/>
                <w:szCs w:val="24"/>
              </w:rPr>
              <w:fldChar w:fldCharType="separate"/>
            </w:r>
            <w:r w:rsidR="00795226">
              <w:rPr>
                <w:b/>
                <w:noProof/>
              </w:rPr>
              <w:t>8</w:t>
            </w:r>
            <w:r w:rsidR="008A7559">
              <w:rPr>
                <w:b/>
                <w:sz w:val="24"/>
                <w:szCs w:val="24"/>
              </w:rPr>
              <w:fldChar w:fldCharType="end"/>
            </w:r>
          </w:p>
        </w:sdtContent>
      </w:sdt>
    </w:sdtContent>
  </w:sdt>
  <w:p w:rsidR="00C54970" w:rsidRDefault="00C549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83" w:rsidRDefault="00BA1683" w:rsidP="0090121F">
      <w:r>
        <w:separator/>
      </w:r>
    </w:p>
  </w:footnote>
  <w:footnote w:type="continuationSeparator" w:id="0">
    <w:p w:rsidR="00BA1683" w:rsidRDefault="00BA1683" w:rsidP="009012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121F"/>
    <w:rsid w:val="001627E6"/>
    <w:rsid w:val="00164393"/>
    <w:rsid w:val="001E13AC"/>
    <w:rsid w:val="003E326C"/>
    <w:rsid w:val="004876AB"/>
    <w:rsid w:val="00630C23"/>
    <w:rsid w:val="006D2DF5"/>
    <w:rsid w:val="00795226"/>
    <w:rsid w:val="008A7559"/>
    <w:rsid w:val="0090121F"/>
    <w:rsid w:val="00AC105B"/>
    <w:rsid w:val="00BA1683"/>
    <w:rsid w:val="00BD3B43"/>
    <w:rsid w:val="00C54970"/>
    <w:rsid w:val="00DF4C73"/>
    <w:rsid w:val="00E26C79"/>
    <w:rsid w:val="00E94A3F"/>
    <w:rsid w:val="00FD7F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1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121F"/>
    <w:rPr>
      <w:sz w:val="18"/>
      <w:szCs w:val="18"/>
    </w:rPr>
  </w:style>
  <w:style w:type="paragraph" w:styleId="a4">
    <w:name w:val="footer"/>
    <w:basedOn w:val="a"/>
    <w:link w:val="Char0"/>
    <w:uiPriority w:val="99"/>
    <w:unhideWhenUsed/>
    <w:rsid w:val="0090121F"/>
    <w:pPr>
      <w:tabs>
        <w:tab w:val="center" w:pos="4153"/>
        <w:tab w:val="right" w:pos="8306"/>
      </w:tabs>
      <w:snapToGrid w:val="0"/>
      <w:jc w:val="left"/>
    </w:pPr>
    <w:rPr>
      <w:sz w:val="18"/>
      <w:szCs w:val="18"/>
    </w:rPr>
  </w:style>
  <w:style w:type="character" w:customStyle="1" w:styleId="Char0">
    <w:name w:val="页脚 Char"/>
    <w:basedOn w:val="a0"/>
    <w:link w:val="a4"/>
    <w:uiPriority w:val="99"/>
    <w:rsid w:val="0090121F"/>
    <w:rPr>
      <w:sz w:val="18"/>
      <w:szCs w:val="18"/>
    </w:rPr>
  </w:style>
  <w:style w:type="character" w:styleId="a5">
    <w:name w:val="Hyperlink"/>
    <w:basedOn w:val="a0"/>
    <w:uiPriority w:val="99"/>
    <w:semiHidden/>
    <w:unhideWhenUsed/>
    <w:rsid w:val="0090121F"/>
    <w:rPr>
      <w:color w:val="0000FF"/>
      <w:u w:val="single"/>
    </w:rPr>
  </w:style>
  <w:style w:type="character" w:styleId="a6">
    <w:name w:val="FollowedHyperlink"/>
    <w:basedOn w:val="a0"/>
    <w:uiPriority w:val="99"/>
    <w:semiHidden/>
    <w:unhideWhenUsed/>
    <w:rsid w:val="0090121F"/>
    <w:rPr>
      <w:color w:val="800080"/>
      <w:u w:val="single"/>
    </w:rPr>
  </w:style>
  <w:style w:type="paragraph" w:customStyle="1" w:styleId="font5">
    <w:name w:val="font5"/>
    <w:basedOn w:val="a"/>
    <w:rsid w:val="0090121F"/>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
    <w:rsid w:val="0090121F"/>
    <w:pPr>
      <w:widowControl/>
      <w:spacing w:before="100" w:beforeAutospacing="1" w:after="100" w:afterAutospacing="1"/>
      <w:jc w:val="center"/>
    </w:pPr>
    <w:rPr>
      <w:rFonts w:ascii="华文楷体" w:eastAsia="华文楷体" w:hAnsi="华文楷体" w:cs="宋体"/>
      <w:kern w:val="0"/>
      <w:sz w:val="24"/>
      <w:szCs w:val="24"/>
    </w:rPr>
  </w:style>
  <w:style w:type="paragraph" w:customStyle="1" w:styleId="xl70">
    <w:name w:val="xl70"/>
    <w:basedOn w:val="a"/>
    <w:rsid w:val="009012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楷体" w:eastAsia="华文楷体" w:hAnsi="华文楷体" w:cs="宋体"/>
      <w:b/>
      <w:bCs/>
      <w:kern w:val="0"/>
      <w:sz w:val="20"/>
      <w:szCs w:val="20"/>
    </w:rPr>
  </w:style>
  <w:style w:type="paragraph" w:customStyle="1" w:styleId="xl71">
    <w:name w:val="xl71"/>
    <w:basedOn w:val="a"/>
    <w:rsid w:val="009012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楷体" w:eastAsia="华文楷体" w:hAnsi="华文楷体" w:cs="宋体"/>
      <w:b/>
      <w:bCs/>
      <w:kern w:val="0"/>
      <w:sz w:val="20"/>
      <w:szCs w:val="20"/>
    </w:rPr>
  </w:style>
  <w:style w:type="paragraph" w:customStyle="1" w:styleId="xl72">
    <w:name w:val="xl72"/>
    <w:basedOn w:val="a"/>
    <w:rsid w:val="009012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楷体" w:eastAsia="华文楷体" w:hAnsi="华文楷体" w:cs="宋体"/>
      <w:b/>
      <w:bCs/>
      <w:kern w:val="0"/>
      <w:sz w:val="20"/>
      <w:szCs w:val="20"/>
    </w:rPr>
  </w:style>
  <w:style w:type="paragraph" w:customStyle="1" w:styleId="xl73">
    <w:name w:val="xl73"/>
    <w:basedOn w:val="a"/>
    <w:rsid w:val="0090121F"/>
    <w:pPr>
      <w:widowControl/>
      <w:spacing w:before="100" w:beforeAutospacing="1" w:after="100" w:afterAutospacing="1"/>
      <w:jc w:val="center"/>
    </w:pPr>
    <w:rPr>
      <w:rFonts w:ascii="华文楷体" w:eastAsia="华文楷体" w:hAnsi="华文楷体" w:cs="宋体"/>
      <w:b/>
      <w:bCs/>
      <w:kern w:val="0"/>
      <w:sz w:val="20"/>
      <w:szCs w:val="20"/>
    </w:rPr>
  </w:style>
  <w:style w:type="paragraph" w:customStyle="1" w:styleId="xl74">
    <w:name w:val="xl74"/>
    <w:basedOn w:val="a"/>
    <w:rsid w:val="009012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楷体" w:eastAsia="华文楷体" w:hAnsi="华文楷体" w:cs="宋体"/>
      <w:kern w:val="0"/>
      <w:sz w:val="20"/>
      <w:szCs w:val="20"/>
    </w:rPr>
  </w:style>
  <w:style w:type="paragraph" w:customStyle="1" w:styleId="xl75">
    <w:name w:val="xl75"/>
    <w:basedOn w:val="a"/>
    <w:rsid w:val="009012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楷体" w:eastAsia="华文楷体" w:hAnsi="华文楷体" w:cs="宋体"/>
      <w:kern w:val="0"/>
      <w:sz w:val="20"/>
      <w:szCs w:val="20"/>
    </w:rPr>
  </w:style>
  <w:style w:type="paragraph" w:customStyle="1" w:styleId="xl76">
    <w:name w:val="xl76"/>
    <w:basedOn w:val="a"/>
    <w:rsid w:val="009012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楷体" w:eastAsia="华文楷体" w:hAnsi="华文楷体" w:cs="宋体"/>
      <w:kern w:val="0"/>
      <w:sz w:val="20"/>
      <w:szCs w:val="20"/>
    </w:rPr>
  </w:style>
  <w:style w:type="paragraph" w:customStyle="1" w:styleId="xl77">
    <w:name w:val="xl77"/>
    <w:basedOn w:val="a"/>
    <w:rsid w:val="009012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楷体" w:eastAsia="华文楷体" w:hAnsi="华文楷体" w:cs="宋体"/>
      <w:kern w:val="0"/>
      <w:sz w:val="20"/>
      <w:szCs w:val="20"/>
    </w:rPr>
  </w:style>
  <w:style w:type="paragraph" w:customStyle="1" w:styleId="xl78">
    <w:name w:val="xl78"/>
    <w:basedOn w:val="a"/>
    <w:rsid w:val="0090121F"/>
    <w:pPr>
      <w:widowControl/>
      <w:spacing w:before="100" w:beforeAutospacing="1" w:after="100" w:afterAutospacing="1"/>
      <w:jc w:val="center"/>
    </w:pPr>
    <w:rPr>
      <w:rFonts w:ascii="华文楷体" w:eastAsia="华文楷体" w:hAnsi="华文楷体" w:cs="宋体"/>
      <w:kern w:val="0"/>
      <w:sz w:val="20"/>
      <w:szCs w:val="20"/>
    </w:rPr>
  </w:style>
  <w:style w:type="paragraph" w:customStyle="1" w:styleId="xl79">
    <w:name w:val="xl79"/>
    <w:basedOn w:val="a"/>
    <w:rsid w:val="009012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楷体" w:eastAsia="华文楷体" w:hAnsi="华文楷体" w:cs="宋体"/>
      <w:kern w:val="0"/>
      <w:sz w:val="20"/>
      <w:szCs w:val="20"/>
    </w:rPr>
  </w:style>
  <w:style w:type="paragraph" w:customStyle="1" w:styleId="xl80">
    <w:name w:val="xl80"/>
    <w:basedOn w:val="a"/>
    <w:rsid w:val="009012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楷体" w:eastAsia="华文楷体" w:hAnsi="华文楷体" w:cs="宋体"/>
      <w:kern w:val="0"/>
      <w:sz w:val="20"/>
      <w:szCs w:val="20"/>
    </w:rPr>
  </w:style>
  <w:style w:type="paragraph" w:customStyle="1" w:styleId="xl81">
    <w:name w:val="xl81"/>
    <w:basedOn w:val="a"/>
    <w:rsid w:val="009012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楷体" w:eastAsia="华文楷体" w:hAnsi="华文楷体" w:cs="宋体"/>
      <w:kern w:val="0"/>
      <w:sz w:val="20"/>
      <w:szCs w:val="20"/>
    </w:rPr>
  </w:style>
  <w:style w:type="paragraph" w:customStyle="1" w:styleId="xl82">
    <w:name w:val="xl82"/>
    <w:basedOn w:val="a"/>
    <w:rsid w:val="0090121F"/>
    <w:pPr>
      <w:widowControl/>
      <w:spacing w:before="100" w:beforeAutospacing="1" w:after="100" w:afterAutospacing="1"/>
      <w:jc w:val="center"/>
    </w:pPr>
    <w:rPr>
      <w:rFonts w:ascii="华文楷体" w:eastAsia="华文楷体" w:hAnsi="华文楷体" w:cs="宋体"/>
      <w:kern w:val="0"/>
      <w:sz w:val="20"/>
      <w:szCs w:val="20"/>
    </w:rPr>
  </w:style>
  <w:style w:type="paragraph" w:customStyle="1" w:styleId="xl83">
    <w:name w:val="xl83"/>
    <w:basedOn w:val="a"/>
    <w:rsid w:val="009012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楷体" w:eastAsia="华文楷体" w:hAnsi="华文楷体" w:cs="宋体"/>
      <w:kern w:val="0"/>
      <w:sz w:val="20"/>
      <w:szCs w:val="20"/>
    </w:rPr>
  </w:style>
  <w:style w:type="paragraph" w:customStyle="1" w:styleId="xl84">
    <w:name w:val="xl84"/>
    <w:basedOn w:val="a"/>
    <w:rsid w:val="009012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楷体" w:eastAsia="华文楷体" w:hAnsi="华文楷体" w:cs="宋体"/>
      <w:kern w:val="0"/>
      <w:sz w:val="20"/>
      <w:szCs w:val="20"/>
    </w:rPr>
  </w:style>
  <w:style w:type="paragraph" w:customStyle="1" w:styleId="xl85">
    <w:name w:val="xl85"/>
    <w:basedOn w:val="a"/>
    <w:rsid w:val="009012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楷体" w:eastAsia="华文楷体" w:hAnsi="华文楷体" w:cs="宋体"/>
      <w:kern w:val="0"/>
      <w:sz w:val="20"/>
      <w:szCs w:val="20"/>
    </w:rPr>
  </w:style>
  <w:style w:type="paragraph" w:customStyle="1" w:styleId="xl86">
    <w:name w:val="xl86"/>
    <w:basedOn w:val="a"/>
    <w:rsid w:val="009012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楷体" w:eastAsia="华文楷体" w:hAnsi="华文楷体" w:cs="宋体"/>
      <w:kern w:val="0"/>
      <w:sz w:val="20"/>
      <w:szCs w:val="20"/>
    </w:rPr>
  </w:style>
  <w:style w:type="paragraph" w:customStyle="1" w:styleId="xl87">
    <w:name w:val="xl87"/>
    <w:basedOn w:val="a"/>
    <w:rsid w:val="009012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楷体" w:eastAsia="华文楷体" w:hAnsi="华文楷体" w:cs="宋体"/>
      <w:kern w:val="0"/>
      <w:sz w:val="20"/>
      <w:szCs w:val="20"/>
    </w:rPr>
  </w:style>
  <w:style w:type="paragraph" w:customStyle="1" w:styleId="xl88">
    <w:name w:val="xl88"/>
    <w:basedOn w:val="a"/>
    <w:rsid w:val="009012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楷体" w:eastAsia="华文楷体" w:hAnsi="华文楷体" w:cs="宋体"/>
      <w:kern w:val="0"/>
      <w:sz w:val="20"/>
      <w:szCs w:val="20"/>
    </w:rPr>
  </w:style>
  <w:style w:type="paragraph" w:customStyle="1" w:styleId="xl89">
    <w:name w:val="xl89"/>
    <w:basedOn w:val="a"/>
    <w:rsid w:val="009012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楷体" w:eastAsia="华文楷体" w:hAnsi="华文楷体" w:cs="宋体"/>
      <w:color w:val="000000"/>
      <w:kern w:val="0"/>
      <w:sz w:val="20"/>
      <w:szCs w:val="20"/>
    </w:rPr>
  </w:style>
  <w:style w:type="paragraph" w:customStyle="1" w:styleId="xl90">
    <w:name w:val="xl90"/>
    <w:basedOn w:val="a"/>
    <w:rsid w:val="009012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楷体" w:eastAsia="华文楷体" w:hAnsi="华文楷体" w:cs="宋体"/>
      <w:kern w:val="0"/>
      <w:sz w:val="20"/>
      <w:szCs w:val="20"/>
    </w:rPr>
  </w:style>
  <w:style w:type="paragraph" w:customStyle="1" w:styleId="xl91">
    <w:name w:val="xl91"/>
    <w:basedOn w:val="a"/>
    <w:rsid w:val="0090121F"/>
    <w:pPr>
      <w:widowControl/>
      <w:spacing w:before="100" w:beforeAutospacing="1" w:after="100" w:afterAutospacing="1"/>
      <w:jc w:val="center"/>
    </w:pPr>
    <w:rPr>
      <w:rFonts w:ascii="华文楷体" w:eastAsia="华文楷体" w:hAnsi="华文楷体" w:cs="宋体"/>
      <w:kern w:val="0"/>
      <w:sz w:val="24"/>
      <w:szCs w:val="24"/>
    </w:rPr>
  </w:style>
  <w:style w:type="paragraph" w:customStyle="1" w:styleId="xl92">
    <w:name w:val="xl92"/>
    <w:basedOn w:val="a"/>
    <w:rsid w:val="0090121F"/>
    <w:pPr>
      <w:widowControl/>
      <w:spacing w:before="100" w:beforeAutospacing="1" w:after="100" w:afterAutospacing="1"/>
      <w:jc w:val="left"/>
    </w:pPr>
    <w:rPr>
      <w:rFonts w:ascii="华文楷体" w:eastAsia="华文楷体" w:hAnsi="华文楷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24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binq</dc:creator>
  <cp:keywords/>
  <dc:description/>
  <cp:lastModifiedBy>binq</cp:lastModifiedBy>
  <cp:revision>21</cp:revision>
  <dcterms:created xsi:type="dcterms:W3CDTF">2015-03-12T07:18:00Z</dcterms:created>
  <dcterms:modified xsi:type="dcterms:W3CDTF">2015-03-13T01:25:00Z</dcterms:modified>
</cp:coreProperties>
</file>