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30"/>
        </w:tabs>
        <w:rPr>
          <w:b/>
          <w:bCs/>
          <w:sz w:val="28"/>
          <w:szCs w:val="28"/>
        </w:rPr>
      </w:pPr>
    </w:p>
    <w:tbl>
      <w:tblPr>
        <w:tblStyle w:val="2"/>
        <w:tblW w:w="0" w:type="auto"/>
        <w:tblInd w:w="0" w:type="dxa"/>
        <w:tblLayout w:type="autofit"/>
        <w:tblCellMar>
          <w:top w:w="0" w:type="dxa"/>
          <w:left w:w="0" w:type="dxa"/>
          <w:bottom w:w="0" w:type="dxa"/>
          <w:right w:w="0" w:type="dxa"/>
        </w:tblCellMar>
      </w:tblPr>
      <w:tblGrid>
        <w:gridCol w:w="2405"/>
        <w:gridCol w:w="6117"/>
      </w:tblGrid>
      <w:tr>
        <w:trPr>
          <w:cantSplit/>
          <w:trHeight w:val="472" w:hRule="atLeast"/>
        </w:trPr>
        <w:tc>
          <w:tcPr>
            <w:tcW w:w="2405" w:type="dxa"/>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widowControl/>
              <w:jc w:val="center"/>
              <w:rPr>
                <w:color w:val="000000"/>
                <w:kern w:val="0"/>
                <w:szCs w:val="21"/>
              </w:rPr>
            </w:pPr>
            <w:r>
              <w:rPr>
                <w:rFonts w:hint="eastAsia" w:ascii="宋体" w:hAnsi="宋体"/>
                <w:color w:val="000000"/>
                <w:kern w:val="0"/>
                <w:sz w:val="24"/>
                <w:szCs w:val="24"/>
              </w:rPr>
              <w:t>学科、专业名称</w:t>
            </w:r>
          </w:p>
        </w:tc>
        <w:tc>
          <w:tcPr>
            <w:tcW w:w="6117" w:type="dxa"/>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pPr>
              <w:widowControl/>
              <w:rPr>
                <w:color w:val="000000"/>
                <w:kern w:val="0"/>
                <w:szCs w:val="21"/>
              </w:rPr>
            </w:pPr>
            <w:r>
              <w:rPr>
                <w:rFonts w:hint="eastAsia"/>
                <w:color w:val="000000"/>
                <w:kern w:val="0"/>
                <w:sz w:val="24"/>
                <w:szCs w:val="24"/>
              </w:rPr>
              <w:t>公共管理</w:t>
            </w:r>
          </w:p>
        </w:tc>
      </w:tr>
      <w:tr>
        <w:trPr>
          <w:cantSplit/>
          <w:trHeight w:val="12402" w:hRule="atLeast"/>
        </w:trPr>
        <w:tc>
          <w:tcPr>
            <w:tcW w:w="8522" w:type="dxa"/>
            <w:gridSpan w:val="2"/>
            <w:tcBorders>
              <w:top w:val="nil"/>
              <w:left w:val="single" w:color="auto" w:sz="12" w:space="0"/>
              <w:bottom w:val="single" w:color="auto" w:sz="12" w:space="0"/>
              <w:right w:val="single" w:color="auto" w:sz="12" w:space="0"/>
            </w:tcBorders>
            <w:tcMar>
              <w:top w:w="0" w:type="dxa"/>
              <w:left w:w="108" w:type="dxa"/>
              <w:bottom w:w="0" w:type="dxa"/>
              <w:right w:w="108" w:type="dxa"/>
            </w:tcMar>
          </w:tcPr>
          <w:p>
            <w:pPr>
              <w:spacing w:line="360" w:lineRule="auto"/>
              <w:rPr>
                <w:rFonts w:ascii="宋体" w:hAnsi="宋体"/>
                <w:bCs/>
                <w:sz w:val="24"/>
                <w:szCs w:val="24"/>
              </w:rPr>
            </w:pPr>
            <w:r>
              <w:rPr>
                <w:rFonts w:hint="eastAsia" w:ascii="宋体" w:hAnsi="宋体"/>
                <w:bCs/>
                <w:sz w:val="24"/>
                <w:szCs w:val="24"/>
              </w:rPr>
              <w:t>学科、专业简介（导师、研究方向及其特色、学术地位、研究成果、在研项目、课程设置、就业去向等方面）：</w:t>
            </w:r>
          </w:p>
          <w:p>
            <w:pPr>
              <w:spacing w:line="360" w:lineRule="auto"/>
              <w:ind w:firstLine="480" w:firstLineChars="200"/>
              <w:rPr>
                <w:rFonts w:hint="eastAsia"/>
                <w:b/>
                <w:bCs/>
                <w:sz w:val="24"/>
                <w:szCs w:val="28"/>
                <w:lang w:val="en-US" w:eastAsia="zh-Hans"/>
              </w:rPr>
            </w:pPr>
            <w:r>
              <w:rPr>
                <w:rFonts w:hint="eastAsia"/>
                <w:b/>
                <w:bCs/>
                <w:sz w:val="24"/>
                <w:szCs w:val="28"/>
              </w:rPr>
              <w:t>一、</w:t>
            </w:r>
            <w:r>
              <w:rPr>
                <w:rFonts w:hint="eastAsia"/>
                <w:b/>
                <w:bCs/>
                <w:sz w:val="24"/>
                <w:szCs w:val="28"/>
                <w:lang w:val="en-US" w:eastAsia="zh-Hans"/>
              </w:rPr>
              <w:t>学位点概况</w:t>
            </w:r>
          </w:p>
          <w:p>
            <w:pPr>
              <w:spacing w:line="360" w:lineRule="auto"/>
              <w:ind w:firstLine="480" w:firstLineChars="200"/>
              <w:rPr>
                <w:rFonts w:ascii="宋体" w:hAnsi="宋体"/>
                <w:bCs/>
                <w:sz w:val="24"/>
                <w:szCs w:val="24"/>
              </w:rPr>
            </w:pPr>
            <w:r>
              <w:rPr>
                <w:rFonts w:hint="eastAsia" w:ascii="宋体" w:hAnsi="宋体"/>
                <w:bCs/>
                <w:sz w:val="24"/>
                <w:szCs w:val="24"/>
              </w:rPr>
              <w:t>公共管理硕士是上海师范大学2</w:t>
            </w:r>
            <w:r>
              <w:rPr>
                <w:rFonts w:ascii="宋体" w:hAnsi="宋体"/>
                <w:bCs/>
                <w:sz w:val="24"/>
                <w:szCs w:val="24"/>
              </w:rPr>
              <w:t>010</w:t>
            </w:r>
            <w:r>
              <w:rPr>
                <w:rFonts w:hint="eastAsia" w:ascii="宋体" w:hAnsi="宋体"/>
                <w:bCs/>
                <w:sz w:val="24"/>
                <w:szCs w:val="24"/>
              </w:rPr>
              <w:t>年</w:t>
            </w:r>
            <w:r>
              <w:rPr>
                <w:rFonts w:hint="eastAsia" w:ascii="宋体" w:hAnsi="宋体" w:cs="宋体"/>
                <w:color w:val="000000"/>
                <w:kern w:val="0"/>
                <w:sz w:val="24"/>
                <w:szCs w:val="24"/>
                <w:shd w:val="clear" w:color="auto" w:fill="FFFFFF"/>
                <w:lang w:bidi="ar"/>
              </w:rPr>
              <w:t>获批的专业学位授权点。本专业学位点仅限招收非全日制硕士研究生，</w:t>
            </w:r>
            <w:r>
              <w:rPr>
                <w:rFonts w:hint="eastAsia" w:ascii="宋体" w:hAnsi="宋体" w:cs="宋体"/>
                <w:color w:val="000000"/>
                <w:sz w:val="24"/>
                <w:szCs w:val="24"/>
                <w:lang w:bidi="ar"/>
              </w:rPr>
              <w:t>采取联合培养方式。</w:t>
            </w:r>
            <w:r>
              <w:rPr>
                <w:rFonts w:hint="eastAsia" w:ascii="宋体" w:hAnsi="宋体"/>
                <w:bCs/>
                <w:sz w:val="24"/>
                <w:szCs w:val="24"/>
              </w:rPr>
              <w:t>其培养目标是为党政机关及其他公共机构等培养具有坚定的政治思想信念和良好的职业道德素养，掌握系统的公共管理理论和方法，具备从事公共管理与公共政策分析的能力，能够综合运用管理、政治、经济、法律、现代科技等方面知识和科学研究方法解决公共管理实际问题，从事公共管理、公共事务和公共政策研究分析等方面工作的德才兼备的高层次、应用型、复合型专门人才。</w:t>
            </w:r>
          </w:p>
          <w:p>
            <w:pPr>
              <w:spacing w:line="360" w:lineRule="auto"/>
              <w:ind w:firstLine="480" w:firstLineChars="200"/>
              <w:rPr>
                <w:rFonts w:hint="eastAsia" w:ascii="宋体" w:hAnsi="宋体"/>
                <w:b/>
                <w:bCs w:val="0"/>
                <w:sz w:val="24"/>
                <w:szCs w:val="24"/>
                <w:lang w:val="en-US" w:eastAsia="zh-Hans"/>
              </w:rPr>
            </w:pPr>
            <w:r>
              <w:rPr>
                <w:rFonts w:hint="eastAsia" w:ascii="宋体" w:hAnsi="宋体"/>
                <w:b/>
                <w:bCs w:val="0"/>
                <w:sz w:val="24"/>
                <w:szCs w:val="24"/>
                <w:lang w:val="en-US" w:eastAsia="zh-Hans"/>
              </w:rPr>
              <w:t>二</w:t>
            </w:r>
            <w:r>
              <w:rPr>
                <w:rFonts w:hint="default" w:ascii="宋体" w:hAnsi="宋体"/>
                <w:b/>
                <w:bCs w:val="0"/>
                <w:sz w:val="24"/>
                <w:szCs w:val="24"/>
                <w:lang w:eastAsia="zh-Hans"/>
              </w:rPr>
              <w:t>、</w:t>
            </w:r>
            <w:r>
              <w:rPr>
                <w:rFonts w:hint="eastAsia" w:ascii="宋体" w:hAnsi="宋体"/>
                <w:b/>
                <w:bCs w:val="0"/>
                <w:sz w:val="24"/>
                <w:szCs w:val="24"/>
                <w:lang w:val="en-US" w:eastAsia="zh-Hans"/>
              </w:rPr>
              <w:t>研究方向</w:t>
            </w:r>
          </w:p>
          <w:p>
            <w:pPr>
              <w:spacing w:line="360" w:lineRule="auto"/>
              <w:ind w:firstLine="480" w:firstLineChars="200"/>
              <w:rPr>
                <w:rFonts w:ascii="宋体" w:hAnsi="宋体"/>
                <w:bCs/>
                <w:sz w:val="24"/>
                <w:szCs w:val="24"/>
              </w:rPr>
            </w:pPr>
            <w:r>
              <w:rPr>
                <w:rFonts w:hint="eastAsia" w:ascii="宋体" w:hAnsi="宋体"/>
                <w:bCs/>
                <w:sz w:val="24"/>
                <w:szCs w:val="24"/>
              </w:rPr>
              <w:t>本</w:t>
            </w:r>
            <w:r>
              <w:rPr>
                <w:rFonts w:hint="eastAsia" w:ascii="宋体" w:hAnsi="宋体" w:cs="宋体"/>
                <w:color w:val="000000"/>
                <w:kern w:val="0"/>
                <w:sz w:val="24"/>
                <w:szCs w:val="24"/>
                <w:shd w:val="clear" w:color="auto" w:fill="FFFFFF"/>
                <w:lang w:bidi="ar"/>
              </w:rPr>
              <w:t>专业学位点</w:t>
            </w:r>
            <w:r>
              <w:rPr>
                <w:rFonts w:hint="eastAsia" w:ascii="宋体" w:hAnsi="宋体"/>
                <w:bCs/>
                <w:sz w:val="24"/>
                <w:szCs w:val="24"/>
              </w:rPr>
              <w:t>设五个研究方向：1、政务管理与创新；2、党务管理与创新；3、行政管理；4、人力资源与社会保障管理；5、公共政策分析与政策管理。</w:t>
            </w:r>
          </w:p>
          <w:p>
            <w:pPr>
              <w:spacing w:line="360" w:lineRule="auto"/>
              <w:rPr>
                <w:rFonts w:ascii="宋体" w:hAnsi="宋体"/>
                <w:bCs/>
                <w:sz w:val="24"/>
                <w:szCs w:val="24"/>
              </w:rPr>
            </w:pPr>
            <w:r>
              <w:rPr>
                <w:rFonts w:hint="eastAsia" w:ascii="宋体" w:hAnsi="宋体"/>
                <w:bCs/>
                <w:sz w:val="24"/>
                <w:szCs w:val="24"/>
              </w:rPr>
              <w:t>本学位点拥有一支由17名正副教授和近20名年轻博士组成的高水平教研团队，多名教师是国内相关领域的知名学者。</w:t>
            </w:r>
          </w:p>
          <w:p>
            <w:pPr>
              <w:spacing w:line="360" w:lineRule="auto"/>
              <w:ind w:firstLine="480" w:firstLineChars="200"/>
              <w:rPr>
                <w:rFonts w:ascii="宋体" w:hAnsi="宋体"/>
                <w:bCs/>
                <w:sz w:val="24"/>
                <w:szCs w:val="24"/>
              </w:rPr>
            </w:pPr>
            <w:r>
              <w:rPr>
                <w:rFonts w:hint="eastAsia" w:ascii="宋体" w:hAnsi="宋体"/>
                <w:bCs/>
                <w:sz w:val="24"/>
                <w:szCs w:val="24"/>
              </w:rPr>
              <w:t>本</w:t>
            </w:r>
            <w:r>
              <w:rPr>
                <w:rFonts w:hint="eastAsia" w:ascii="宋体" w:hAnsi="宋体" w:cs="宋体"/>
                <w:color w:val="000000"/>
                <w:kern w:val="0"/>
                <w:sz w:val="24"/>
                <w:szCs w:val="24"/>
                <w:shd w:val="clear" w:color="auto" w:fill="FFFFFF"/>
                <w:lang w:bidi="ar"/>
              </w:rPr>
              <w:t>专业学位点</w:t>
            </w:r>
            <w:r>
              <w:rPr>
                <w:rFonts w:hint="eastAsia" w:ascii="宋体" w:hAnsi="宋体"/>
                <w:bCs/>
                <w:sz w:val="24"/>
                <w:szCs w:val="24"/>
              </w:rPr>
              <w:t>专职教师积极开展学术研究，成果丰硕。近四年，共出版学术著作及教材10部，发表核心期（集）刊论文56篇，获得国家社会科学基金项目7项、上海市哲学社会科学项目5项、教育部人文社科项目2项、国务院其他部委项目1项、上海市决策咨询项目5项，此外还有横向科研项目25项。共获得纵向、横向及校级项目51项，经费总额417.67万元。</w:t>
            </w:r>
          </w:p>
          <w:p>
            <w:pPr>
              <w:spacing w:line="360" w:lineRule="auto"/>
              <w:ind w:firstLine="480" w:firstLineChars="200"/>
              <w:rPr>
                <w:rFonts w:ascii="宋体" w:hAnsi="宋体"/>
                <w:bCs/>
                <w:sz w:val="24"/>
                <w:szCs w:val="24"/>
              </w:rPr>
            </w:pPr>
            <w:r>
              <w:rPr>
                <w:rFonts w:hint="eastAsia" w:ascii="宋体" w:hAnsi="宋体"/>
                <w:bCs/>
                <w:sz w:val="24"/>
                <w:szCs w:val="24"/>
              </w:rPr>
              <w:t>本</w:t>
            </w:r>
            <w:r>
              <w:rPr>
                <w:rFonts w:hint="eastAsia" w:ascii="宋体" w:hAnsi="宋体" w:cs="宋体"/>
                <w:color w:val="000000"/>
                <w:kern w:val="0"/>
                <w:sz w:val="24"/>
                <w:szCs w:val="24"/>
                <w:shd w:val="clear" w:color="auto" w:fill="FFFFFF"/>
                <w:lang w:bidi="ar"/>
              </w:rPr>
              <w:t>专业学位点</w:t>
            </w:r>
            <w:r>
              <w:rPr>
                <w:rFonts w:hint="eastAsia" w:ascii="宋体" w:hAnsi="宋体"/>
                <w:bCs/>
                <w:sz w:val="24"/>
                <w:szCs w:val="24"/>
              </w:rPr>
              <w:t>有三大特色：1、多学科支撑，多元一体教学团队；2、研究方向众多，选择余地大；3、可利用学院的市级实验室为学员提供职业生涯规划设计服务。本专业培养计划设有20门课程 ：学位公共课开设中国特色社会主义理论与实践、外国语；学位基础课开设公共管理 、公共政策分析、公共经济学、政治学、宪法与行政法、社会研究方法、公文写作、学术规范与论文写作；学位专业课开设电子政务、社会组织管理、公共危机管理、领导力开发与管理；选修课开设社会问题与社会治理、府际互动与府际管理、政党建设与党务管理、城市社区组织与管理、公共部门人力资源管理、公共政策创新与实践；此外还有实习实践环节。总学分47学分。学习年限一般为2.5年，最长不超过4.5年。</w:t>
            </w:r>
          </w:p>
          <w:p>
            <w:pPr>
              <w:spacing w:line="360" w:lineRule="auto"/>
              <w:ind w:firstLine="480" w:firstLineChars="200"/>
              <w:rPr>
                <w:rFonts w:ascii="宋体" w:hAnsi="宋体"/>
                <w:bCs/>
                <w:sz w:val="24"/>
                <w:szCs w:val="24"/>
              </w:rPr>
            </w:pPr>
            <w:r>
              <w:rPr>
                <w:rFonts w:hint="eastAsia" w:ascii="宋体" w:hAnsi="宋体"/>
                <w:bCs/>
                <w:sz w:val="24"/>
                <w:szCs w:val="24"/>
              </w:rPr>
              <w:t>报考本专业学位点无前置专业要求。原则上需有时间到校参与课程学习。</w:t>
            </w:r>
          </w:p>
          <w:p>
            <w:pPr>
              <w:spacing w:line="360" w:lineRule="auto"/>
              <w:ind w:firstLine="480" w:firstLineChars="200"/>
              <w:rPr>
                <w:rFonts w:ascii="宋体" w:hAnsi="宋体"/>
                <w:b/>
                <w:bCs w:val="0"/>
                <w:sz w:val="24"/>
                <w:szCs w:val="24"/>
              </w:rPr>
            </w:pPr>
            <w:r>
              <w:rPr>
                <w:rFonts w:hint="eastAsia" w:ascii="宋体" w:hAnsi="宋体"/>
                <w:b/>
                <w:bCs w:val="0"/>
                <w:sz w:val="24"/>
                <w:szCs w:val="24"/>
                <w:lang w:val="en-US" w:eastAsia="zh-Hans"/>
              </w:rPr>
              <w:t>三</w:t>
            </w:r>
            <w:r>
              <w:rPr>
                <w:rFonts w:hint="default" w:ascii="宋体" w:hAnsi="宋体"/>
                <w:b/>
                <w:bCs w:val="0"/>
                <w:sz w:val="24"/>
                <w:szCs w:val="24"/>
                <w:lang w:eastAsia="zh-Hans"/>
              </w:rPr>
              <w:t>、</w:t>
            </w:r>
            <w:r>
              <w:rPr>
                <w:rFonts w:hint="eastAsia" w:ascii="宋体" w:hAnsi="宋体"/>
                <w:b/>
                <w:bCs w:val="0"/>
                <w:sz w:val="24"/>
                <w:szCs w:val="24"/>
              </w:rPr>
              <w:t>导师代表简介</w:t>
            </w:r>
          </w:p>
          <w:p>
            <w:pPr>
              <w:numPr>
                <w:numId w:val="0"/>
              </w:numPr>
              <w:spacing w:line="360" w:lineRule="auto"/>
              <w:ind w:firstLine="480" w:firstLineChars="200"/>
              <w:rPr>
                <w:rFonts w:hint="eastAsia" w:ascii="宋体" w:hAnsi="宋体"/>
                <w:bCs/>
                <w:sz w:val="24"/>
                <w:szCs w:val="24"/>
              </w:rPr>
            </w:pPr>
            <w:r>
              <w:rPr>
                <w:rFonts w:hint="default" w:ascii="宋体" w:hAnsi="宋体"/>
                <w:bCs/>
                <w:sz w:val="24"/>
                <w:szCs w:val="24"/>
              </w:rPr>
              <w:t>1</w:t>
            </w:r>
            <w:r>
              <w:rPr>
                <w:rFonts w:hint="eastAsia" w:ascii="宋体" w:hAnsi="宋体"/>
                <w:bCs/>
                <w:sz w:val="24"/>
                <w:szCs w:val="24"/>
                <w:lang w:val="en-US" w:eastAsia="zh-Hans"/>
              </w:rPr>
              <w:t>.</w:t>
            </w:r>
            <w:r>
              <w:rPr>
                <w:rFonts w:hint="eastAsia" w:ascii="宋体" w:hAnsi="宋体"/>
                <w:bCs/>
                <w:sz w:val="24"/>
                <w:szCs w:val="24"/>
              </w:rPr>
              <w:t>何精华，博士，教授，博士生导师，主讲课程《公共管理》和《电子政务》，擅长于公共治理研究；</w:t>
            </w:r>
          </w:p>
          <w:p>
            <w:pPr>
              <w:numPr>
                <w:numId w:val="0"/>
              </w:numPr>
              <w:spacing w:line="360" w:lineRule="auto"/>
              <w:ind w:firstLine="480" w:firstLineChars="200"/>
              <w:rPr>
                <w:rFonts w:hint="eastAsia" w:ascii="宋体" w:hAnsi="宋体"/>
                <w:bCs/>
                <w:sz w:val="24"/>
                <w:szCs w:val="24"/>
              </w:rPr>
            </w:pPr>
            <w:r>
              <w:rPr>
                <w:rFonts w:hint="default" w:ascii="宋体" w:hAnsi="宋体"/>
                <w:bCs/>
                <w:sz w:val="24"/>
                <w:szCs w:val="24"/>
              </w:rPr>
              <w:t>2</w:t>
            </w:r>
            <w:r>
              <w:rPr>
                <w:rFonts w:hint="eastAsia" w:ascii="宋体" w:hAnsi="宋体"/>
                <w:bCs/>
                <w:sz w:val="24"/>
                <w:szCs w:val="24"/>
                <w:lang w:val="en-US" w:eastAsia="zh-Hans"/>
              </w:rPr>
              <w:t>.</w:t>
            </w:r>
            <w:r>
              <w:rPr>
                <w:rFonts w:hint="eastAsia" w:ascii="宋体" w:hAnsi="宋体"/>
                <w:bCs/>
                <w:sz w:val="24"/>
                <w:szCs w:val="24"/>
              </w:rPr>
              <w:t>王礼鑫，博士，教授，硕士生导师，主讲课程《公共政策分析》，擅长于当代中国政治及公共政策研究；</w:t>
            </w:r>
          </w:p>
          <w:p>
            <w:pPr>
              <w:numPr>
                <w:numId w:val="0"/>
              </w:numPr>
              <w:spacing w:line="360" w:lineRule="auto"/>
              <w:ind w:firstLine="480" w:firstLineChars="200"/>
              <w:rPr>
                <w:rFonts w:hint="eastAsia" w:ascii="宋体" w:hAnsi="宋体"/>
                <w:bCs/>
                <w:sz w:val="24"/>
                <w:szCs w:val="24"/>
              </w:rPr>
            </w:pPr>
            <w:r>
              <w:rPr>
                <w:rFonts w:hint="default" w:ascii="宋体" w:hAnsi="宋体"/>
                <w:bCs/>
                <w:sz w:val="24"/>
                <w:szCs w:val="24"/>
              </w:rPr>
              <w:t>3</w:t>
            </w:r>
            <w:r>
              <w:rPr>
                <w:rFonts w:hint="eastAsia" w:ascii="宋体" w:hAnsi="宋体"/>
                <w:bCs/>
                <w:sz w:val="24"/>
                <w:szCs w:val="24"/>
                <w:lang w:val="en-US" w:eastAsia="zh-Hans"/>
              </w:rPr>
              <w:t>.</w:t>
            </w:r>
            <w:r>
              <w:rPr>
                <w:rFonts w:hint="eastAsia" w:ascii="宋体" w:hAnsi="宋体"/>
                <w:bCs/>
                <w:sz w:val="24"/>
                <w:szCs w:val="24"/>
              </w:rPr>
              <w:t>张振洋，博士，副教授，硕士生导师，主讲课程《宪法与行政法》和《社会组织管理》，擅长于社会治理研究；</w:t>
            </w:r>
          </w:p>
          <w:p>
            <w:pPr>
              <w:numPr>
                <w:numId w:val="0"/>
              </w:numPr>
              <w:spacing w:line="360" w:lineRule="auto"/>
              <w:ind w:firstLine="480" w:firstLineChars="200"/>
              <w:rPr>
                <w:rFonts w:ascii="宋体" w:hAnsi="宋体"/>
                <w:bCs/>
                <w:sz w:val="24"/>
                <w:szCs w:val="24"/>
              </w:rPr>
            </w:pPr>
            <w:r>
              <w:rPr>
                <w:rFonts w:hint="default" w:ascii="宋体" w:hAnsi="宋体"/>
                <w:bCs/>
                <w:sz w:val="24"/>
                <w:szCs w:val="24"/>
              </w:rPr>
              <w:t>4</w:t>
            </w:r>
            <w:r>
              <w:rPr>
                <w:rFonts w:hint="eastAsia" w:ascii="宋体" w:hAnsi="宋体"/>
                <w:bCs/>
                <w:sz w:val="24"/>
                <w:szCs w:val="24"/>
                <w:lang w:val="en-US" w:eastAsia="zh-Hans"/>
              </w:rPr>
              <w:t>.</w:t>
            </w:r>
            <w:bookmarkStart w:id="0" w:name="_GoBack"/>
            <w:bookmarkEnd w:id="0"/>
            <w:r>
              <w:rPr>
                <w:rFonts w:hint="eastAsia" w:ascii="宋体" w:hAnsi="宋体"/>
                <w:bCs/>
                <w:sz w:val="24"/>
                <w:szCs w:val="24"/>
              </w:rPr>
              <w:t>张云翔，博士，副教授，硕士生导师，主讲课程《公共管理》、《公共政策分析》和《城市社区组织与管理》，擅长于城市社区治理研究。</w:t>
            </w:r>
          </w:p>
          <w:p>
            <w:pPr>
              <w:spacing w:line="360" w:lineRule="auto"/>
              <w:ind w:firstLine="480" w:firstLineChars="200"/>
              <w:rPr>
                <w:rFonts w:ascii="宋体" w:hAnsi="宋体"/>
                <w:color w:val="000000"/>
                <w:kern w:val="0"/>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DEE"/>
    <w:rsid w:val="00030535"/>
    <w:rsid w:val="000C773D"/>
    <w:rsid w:val="00132910"/>
    <w:rsid w:val="00230A52"/>
    <w:rsid w:val="00255492"/>
    <w:rsid w:val="0027496D"/>
    <w:rsid w:val="00287A87"/>
    <w:rsid w:val="00290478"/>
    <w:rsid w:val="004809A3"/>
    <w:rsid w:val="004A6B32"/>
    <w:rsid w:val="004B7DED"/>
    <w:rsid w:val="004E6FF9"/>
    <w:rsid w:val="005848E3"/>
    <w:rsid w:val="005A02AE"/>
    <w:rsid w:val="006C1335"/>
    <w:rsid w:val="006D79E9"/>
    <w:rsid w:val="00726383"/>
    <w:rsid w:val="00762407"/>
    <w:rsid w:val="0079709A"/>
    <w:rsid w:val="00871B08"/>
    <w:rsid w:val="00874AA1"/>
    <w:rsid w:val="00965E18"/>
    <w:rsid w:val="009E3944"/>
    <w:rsid w:val="00A154F6"/>
    <w:rsid w:val="00A42DB1"/>
    <w:rsid w:val="00B5746C"/>
    <w:rsid w:val="00B7506E"/>
    <w:rsid w:val="00CB51F2"/>
    <w:rsid w:val="00D31CD0"/>
    <w:rsid w:val="00E36EBC"/>
    <w:rsid w:val="00EA04B7"/>
    <w:rsid w:val="00EA1FA0"/>
    <w:rsid w:val="00EF1DEE"/>
    <w:rsid w:val="00F02B17"/>
    <w:rsid w:val="00F734DA"/>
    <w:rsid w:val="00FC77BF"/>
    <w:rsid w:val="7CFDBD0B"/>
    <w:rsid w:val="7D990BE1"/>
    <w:rsid w:val="D3B314AD"/>
    <w:rsid w:val="F8FBB8C1"/>
    <w:rsid w:val="FADEF2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171</Words>
  <Characters>980</Characters>
  <Lines>8</Lines>
  <Paragraphs>2</Paragraphs>
  <TotalTime>15</TotalTime>
  <ScaleCrop>false</ScaleCrop>
  <LinksUpToDate>false</LinksUpToDate>
  <CharactersWithSpaces>1149</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2023-09-09T01:12:00Z</dcterms:created>
  <dc:creator>lly</dc:creator>
  <cp:lastModifiedBy>包子君。</cp:lastModifiedBy>
  <dcterms:modified xsi:type="dcterms:W3CDTF">2024-09-14T11:16:54Z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99CFC1206AD596A28FEDE4660DE6A6C4_43</vt:lpwstr>
  </property>
</Properties>
</file>