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horzAnchor="margin" w:tblpY="853"/>
        <w:tblW w:w="0" w:type="auto"/>
        <w:tblInd w:w="0" w:type="dxa"/>
        <w:tblLayout w:type="autofit"/>
        <w:tblCellMar>
          <w:top w:w="0" w:type="dxa"/>
          <w:left w:w="0" w:type="dxa"/>
          <w:bottom w:w="0" w:type="dxa"/>
          <w:right w:w="0" w:type="dxa"/>
        </w:tblCellMar>
      </w:tblPr>
      <w:tblGrid>
        <w:gridCol w:w="1880"/>
        <w:gridCol w:w="6396"/>
      </w:tblGrid>
      <w:tr>
        <w:tblPrEx>
          <w:tblCellMar>
            <w:top w:w="0" w:type="dxa"/>
            <w:left w:w="0" w:type="dxa"/>
            <w:bottom w:w="0" w:type="dxa"/>
            <w:right w:w="0" w:type="dxa"/>
          </w:tblCellMar>
        </w:tblPrEx>
        <w:trPr>
          <w:cantSplit/>
          <w:trHeight w:val="432" w:hRule="atLeast"/>
        </w:trPr>
        <w:tc>
          <w:tcPr>
            <w:tcW w:w="1880"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jc w:val="center"/>
            </w:pPr>
            <w:r>
              <w:rPr>
                <w:rFonts w:hint="eastAsia" w:ascii="宋体" w:hAnsi="宋体"/>
                <w:sz w:val="24"/>
                <w:szCs w:val="24"/>
              </w:rPr>
              <w:t>学科、专业名称</w:t>
            </w:r>
          </w:p>
        </w:tc>
        <w:tc>
          <w:tcPr>
            <w:tcW w:w="6396"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r>
              <w:rPr>
                <w:rFonts w:hint="eastAsia" w:ascii="宋体" w:hAnsi="宋体"/>
                <w:sz w:val="24"/>
                <w:szCs w:val="24"/>
              </w:rPr>
              <w:t>教育技术学</w:t>
            </w:r>
          </w:p>
        </w:tc>
      </w:tr>
      <w:tr>
        <w:tblPrEx>
          <w:tblCellMar>
            <w:top w:w="0" w:type="dxa"/>
            <w:left w:w="0" w:type="dxa"/>
            <w:bottom w:w="0" w:type="dxa"/>
            <w:right w:w="0" w:type="dxa"/>
          </w:tblCellMar>
        </w:tblPrEx>
        <w:trPr>
          <w:cantSplit/>
          <w:trHeight w:val="12221" w:hRule="atLeast"/>
        </w:trPr>
        <w:tc>
          <w:tcPr>
            <w:tcW w:w="8276"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ind w:left="1680" w:hanging="1680"/>
              <w:rPr>
                <w:rFonts w:ascii="宋体" w:hAnsi="宋体"/>
                <w:sz w:val="24"/>
                <w:szCs w:val="24"/>
              </w:rPr>
            </w:pPr>
            <w:r>
              <w:rPr>
                <w:rFonts w:hint="eastAsia" w:ascii="宋体" w:hAnsi="宋体"/>
                <w:sz w:val="24"/>
                <w:szCs w:val="24"/>
              </w:rPr>
              <w:t>学科、专业简介（导师、研究方向及其特色、学术地位、研究成果、在研项目、课程设置、就业去向等方面）：</w:t>
            </w:r>
          </w:p>
          <w:p>
            <w:pPr>
              <w:ind w:left="1680" w:hanging="1680"/>
              <w:rPr>
                <w:rFonts w:hint="eastAsia" w:ascii="宋体" w:hAnsi="宋体"/>
                <w:sz w:val="24"/>
                <w:szCs w:val="24"/>
              </w:rPr>
            </w:pPr>
            <w:r>
              <w:rPr>
                <w:rFonts w:hint="eastAsia" w:ascii="宋体" w:hAnsi="宋体"/>
                <w:sz w:val="24"/>
                <w:szCs w:val="24"/>
              </w:rPr>
              <w:t> </w:t>
            </w:r>
          </w:p>
          <w:p>
            <w:pPr>
              <w:snapToGrid w:val="0"/>
              <w:spacing w:line="400" w:lineRule="atLeast"/>
              <w:ind w:firstLine="480"/>
              <w:rPr>
                <w:rFonts w:hint="eastAsia" w:ascii="宋体" w:hAnsi="宋体"/>
                <w:sz w:val="24"/>
                <w:szCs w:val="24"/>
              </w:rPr>
            </w:pPr>
            <w:r>
              <w:rPr>
                <w:rFonts w:hint="eastAsia" w:ascii="宋体" w:hAnsi="宋体"/>
                <w:sz w:val="24"/>
                <w:szCs w:val="24"/>
              </w:rPr>
              <w:t>教育技术学专业注重</w:t>
            </w:r>
            <w:r>
              <w:rPr>
                <w:rFonts w:hint="eastAsia" w:ascii="宋体" w:hAnsi="宋体"/>
                <w:sz w:val="24"/>
                <w:szCs w:val="24"/>
                <w:lang w:val="en-US" w:eastAsia="zh-Hans"/>
              </w:rPr>
              <w:t>将学科科学、教学</w:t>
            </w:r>
            <w:r>
              <w:rPr>
                <w:rFonts w:hint="eastAsia" w:ascii="宋体" w:hAnsi="宋体"/>
                <w:sz w:val="24"/>
                <w:szCs w:val="24"/>
              </w:rPr>
              <w:t>理论与</w:t>
            </w:r>
            <w:r>
              <w:rPr>
                <w:rFonts w:hint="eastAsia" w:ascii="宋体" w:hAnsi="宋体"/>
                <w:sz w:val="24"/>
                <w:szCs w:val="24"/>
                <w:lang w:val="en-US" w:eastAsia="zh-Hans"/>
              </w:rPr>
              <w:t>教育</w:t>
            </w:r>
            <w:r>
              <w:rPr>
                <w:rFonts w:hint="eastAsia" w:ascii="宋体" w:hAnsi="宋体"/>
                <w:sz w:val="24"/>
                <w:szCs w:val="24"/>
              </w:rPr>
              <w:t>实践结合，培养研究生的</w:t>
            </w:r>
            <w:r>
              <w:rPr>
                <w:rFonts w:hint="eastAsia" w:ascii="宋体" w:hAnsi="宋体"/>
                <w:sz w:val="24"/>
                <w:szCs w:val="24"/>
                <w:lang w:val="en-US" w:eastAsia="zh-Hans"/>
              </w:rPr>
              <w:t>学术素养</w:t>
            </w:r>
            <w:r>
              <w:rPr>
                <w:rFonts w:hint="eastAsia" w:ascii="宋体" w:hAnsi="宋体"/>
                <w:sz w:val="24"/>
                <w:szCs w:val="24"/>
              </w:rPr>
              <w:t>，</w:t>
            </w:r>
            <w:r>
              <w:rPr>
                <w:rFonts w:hint="eastAsia" w:ascii="宋体" w:hAnsi="宋体"/>
                <w:sz w:val="24"/>
                <w:szCs w:val="24"/>
                <w:lang w:val="en-US" w:eastAsia="zh-Hans"/>
              </w:rPr>
              <w:t>包括</w:t>
            </w:r>
            <w:r>
              <w:rPr>
                <w:rFonts w:hint="eastAsia" w:ascii="宋体" w:hAnsi="宋体"/>
                <w:sz w:val="24"/>
                <w:szCs w:val="24"/>
              </w:rPr>
              <w:t>科研能力、合作沟通能力、设计与开发能力。</w:t>
            </w:r>
            <w:r>
              <w:rPr>
                <w:rFonts w:hint="eastAsia" w:ascii="宋体" w:hAnsi="宋体"/>
                <w:sz w:val="24"/>
                <w:szCs w:val="24"/>
                <w:lang w:val="en-US" w:eastAsia="zh-Hans"/>
              </w:rPr>
              <w:t>本专业</w:t>
            </w:r>
            <w:r>
              <w:rPr>
                <w:rFonts w:hint="eastAsia" w:ascii="宋体" w:hAnsi="宋体"/>
                <w:sz w:val="24"/>
                <w:szCs w:val="24"/>
              </w:rPr>
              <w:t>主要研究方向</w:t>
            </w:r>
            <w:r>
              <w:rPr>
                <w:rFonts w:hint="eastAsia" w:ascii="宋体" w:hAnsi="宋体"/>
                <w:sz w:val="24"/>
                <w:szCs w:val="24"/>
                <w:lang w:val="en-US" w:eastAsia="zh-CN"/>
              </w:rPr>
              <w:t>有</w:t>
            </w:r>
            <w:r>
              <w:rPr>
                <w:rFonts w:hint="eastAsia" w:ascii="宋体" w:hAnsi="宋体"/>
                <w:sz w:val="24"/>
                <w:szCs w:val="24"/>
              </w:rPr>
              <w:t>：“学习技术”、“STEM</w:t>
            </w:r>
            <w:r>
              <w:rPr>
                <w:rFonts w:hint="eastAsia" w:ascii="宋体" w:hAnsi="宋体"/>
                <w:sz w:val="24"/>
                <w:szCs w:val="24"/>
                <w:lang w:val="en-US" w:eastAsia="zh-CN"/>
              </w:rPr>
              <w:t>及创客</w:t>
            </w:r>
            <w:r>
              <w:rPr>
                <w:rFonts w:hint="eastAsia" w:ascii="宋体" w:hAnsi="宋体"/>
                <w:sz w:val="24"/>
                <w:szCs w:val="24"/>
              </w:rPr>
              <w:t>教育”</w:t>
            </w:r>
            <w:r>
              <w:rPr>
                <w:rFonts w:hint="eastAsia" w:ascii="宋体" w:hAnsi="宋体"/>
                <w:sz w:val="24"/>
                <w:szCs w:val="24"/>
                <w:lang w:eastAsia="zh-Hans"/>
              </w:rPr>
              <w:t>、</w:t>
            </w:r>
            <w:r>
              <w:rPr>
                <w:rFonts w:hint="eastAsia" w:ascii="宋体" w:hAnsi="宋体"/>
                <w:sz w:val="24"/>
                <w:szCs w:val="24"/>
              </w:rPr>
              <w:t>“场馆学习</w:t>
            </w:r>
            <w:r>
              <w:rPr>
                <w:rFonts w:hint="eastAsia" w:ascii="宋体" w:hAnsi="宋体"/>
                <w:sz w:val="24"/>
                <w:szCs w:val="24"/>
                <w:lang w:eastAsia="zh-CN"/>
              </w:rPr>
              <w:t>（</w:t>
            </w:r>
            <w:r>
              <w:rPr>
                <w:rFonts w:hint="eastAsia" w:ascii="宋体" w:hAnsi="宋体"/>
                <w:sz w:val="24"/>
                <w:szCs w:val="24"/>
              </w:rPr>
              <w:t>学习空间）”</w:t>
            </w:r>
            <w:r>
              <w:rPr>
                <w:rFonts w:hint="eastAsia" w:ascii="宋体" w:hAnsi="宋体"/>
                <w:sz w:val="24"/>
                <w:szCs w:val="24"/>
                <w:lang w:eastAsia="zh-CN"/>
              </w:rPr>
              <w:t>“</w:t>
            </w:r>
            <w:r>
              <w:rPr>
                <w:rFonts w:hint="eastAsia" w:ascii="宋体" w:hAnsi="宋体"/>
                <w:b w:val="0"/>
                <w:bCs w:val="0"/>
                <w:sz w:val="24"/>
                <w:szCs w:val="24"/>
                <w:lang w:val="en-US" w:eastAsia="zh-CN"/>
              </w:rPr>
              <w:t>人工智能教育</w:t>
            </w:r>
            <w:r>
              <w:rPr>
                <w:rFonts w:hint="eastAsia" w:ascii="宋体" w:hAnsi="宋体"/>
                <w:sz w:val="24"/>
                <w:szCs w:val="24"/>
                <w:lang w:eastAsia="zh-CN"/>
              </w:rPr>
              <w:t>”</w:t>
            </w:r>
            <w:r>
              <w:rPr>
                <w:rFonts w:hint="eastAsia" w:ascii="宋体" w:hAnsi="宋体"/>
                <w:sz w:val="24"/>
                <w:szCs w:val="24"/>
                <w:lang w:val="en-US" w:eastAsia="zh-Hans"/>
              </w:rPr>
              <w:t>和“</w:t>
            </w:r>
            <w:r>
              <w:rPr>
                <w:rFonts w:hint="eastAsia" w:ascii="宋体" w:hAnsi="宋体"/>
                <w:sz w:val="24"/>
                <w:szCs w:val="24"/>
              </w:rPr>
              <w:t>教学设计和绩效技术</w:t>
            </w:r>
            <w:r>
              <w:rPr>
                <w:rFonts w:hint="eastAsia" w:ascii="宋体" w:hAnsi="宋体"/>
                <w:sz w:val="24"/>
                <w:szCs w:val="24"/>
                <w:lang w:val="en-US" w:eastAsia="zh-Hans"/>
              </w:rPr>
              <w:t>”</w:t>
            </w:r>
            <w:r>
              <w:rPr>
                <w:rFonts w:hint="eastAsia" w:ascii="宋体" w:hAnsi="宋体"/>
                <w:sz w:val="24"/>
                <w:szCs w:val="24"/>
              </w:rPr>
              <w:t>等。</w:t>
            </w:r>
          </w:p>
          <w:p>
            <w:pPr>
              <w:snapToGrid w:val="0"/>
              <w:spacing w:line="400" w:lineRule="atLeast"/>
              <w:rPr>
                <w:rFonts w:hint="eastAsia" w:ascii="宋体" w:hAnsi="宋体"/>
                <w:sz w:val="24"/>
                <w:szCs w:val="24"/>
              </w:rPr>
            </w:pPr>
            <w:bookmarkStart w:id="0" w:name="_GoBack"/>
            <w:bookmarkEnd w:id="0"/>
          </w:p>
          <w:p>
            <w:pPr>
              <w:pStyle w:val="8"/>
              <w:numPr>
                <w:ilvl w:val="0"/>
                <w:numId w:val="1"/>
              </w:numPr>
              <w:snapToGrid w:val="0"/>
              <w:spacing w:line="400" w:lineRule="atLeast"/>
              <w:ind w:firstLineChars="0"/>
              <w:rPr>
                <w:rFonts w:hint="eastAsia" w:ascii="宋体" w:hAnsi="宋体"/>
                <w:b/>
                <w:bCs/>
                <w:sz w:val="24"/>
                <w:szCs w:val="24"/>
              </w:rPr>
            </w:pPr>
            <w:r>
              <w:rPr>
                <w:rFonts w:hint="eastAsia" w:ascii="宋体" w:hAnsi="宋体"/>
                <w:b/>
                <w:bCs/>
                <w:sz w:val="24"/>
                <w:szCs w:val="24"/>
              </w:rPr>
              <w:t>学习技术</w:t>
            </w:r>
          </w:p>
          <w:p>
            <w:pPr>
              <w:snapToGrid w:val="0"/>
              <w:spacing w:line="400" w:lineRule="atLeast"/>
              <w:ind w:firstLine="480" w:firstLineChars="200"/>
              <w:rPr>
                <w:rFonts w:hint="eastAsia" w:ascii="宋体" w:hAnsi="宋体"/>
                <w:sz w:val="24"/>
                <w:szCs w:val="24"/>
              </w:rPr>
            </w:pPr>
            <w:r>
              <w:rPr>
                <w:rFonts w:hint="eastAsia" w:ascii="宋体" w:hAnsi="宋体"/>
                <w:sz w:val="24"/>
                <w:szCs w:val="24"/>
              </w:rPr>
              <w:t>学习技术研究方向在文化视野下，采用将技术、学习内容、学习者相统和的教育技术学的研究新范式（简称CTCL）以及计算机支持的协作学习（CSCL）等。该研究范式以学习者为中心，关注学习内容与学习者的关联性，追求技术促进学习的有效性，强调学习系统的文化变革。该方向主要探索：技术支持的基于认知发展的个性化学习、面向学业成就提升的技术干预学业情绪教学研究、技术促进思维发展研究、CSCL（计算机支持的协作学习）、</w:t>
            </w:r>
            <w:r>
              <w:rPr>
                <w:rFonts w:hint="eastAsia" w:ascii="宋体" w:hAnsi="宋体"/>
                <w:sz w:val="24"/>
                <w:szCs w:val="24"/>
                <w:lang w:val="en-US" w:eastAsia="zh-CN"/>
              </w:rPr>
              <w:t>学习分析、</w:t>
            </w:r>
            <w:r>
              <w:rPr>
                <w:rFonts w:hint="eastAsia" w:ascii="宋体" w:hAnsi="宋体"/>
                <w:sz w:val="24"/>
                <w:szCs w:val="24"/>
              </w:rPr>
              <w:t>在线系统设计以及在线游戏化学习等。</w:t>
            </w:r>
          </w:p>
          <w:p>
            <w:pPr>
              <w:widowControl w:val="0"/>
              <w:rPr>
                <w:rFonts w:hint="eastAsia" w:ascii="宋体" w:hAnsi="宋体"/>
                <w:sz w:val="24"/>
                <w:szCs w:val="24"/>
              </w:rPr>
            </w:pPr>
          </w:p>
          <w:p>
            <w:pPr>
              <w:widowControl w:val="0"/>
              <w:rPr>
                <w:rFonts w:hint="eastAsia" w:ascii="宋体" w:hAnsi="宋体"/>
                <w:sz w:val="24"/>
                <w:szCs w:val="24"/>
              </w:rPr>
            </w:pPr>
          </w:p>
          <w:p>
            <w:pPr>
              <w:spacing w:line="340" w:lineRule="exact"/>
              <w:rPr>
                <w:rFonts w:hint="eastAsia" w:ascii="宋体" w:hAnsi="宋体"/>
                <w:b/>
                <w:bCs/>
                <w:sz w:val="24"/>
                <w:szCs w:val="24"/>
              </w:rPr>
            </w:pPr>
            <w:r>
              <w:rPr>
                <w:rFonts w:ascii="宋体" w:hAnsi="宋体"/>
                <w:b/>
                <w:bCs/>
                <w:sz w:val="24"/>
                <w:szCs w:val="24"/>
              </w:rPr>
              <w:t>2.</w:t>
            </w:r>
            <w:r>
              <w:rPr>
                <w:rFonts w:hint="eastAsia" w:ascii="宋体" w:hAnsi="宋体"/>
                <w:b/>
                <w:bCs/>
                <w:sz w:val="24"/>
                <w:szCs w:val="24"/>
              </w:rPr>
              <w:t>STEM</w:t>
            </w:r>
            <w:r>
              <w:rPr>
                <w:rFonts w:hint="eastAsia" w:ascii="宋体" w:hAnsi="宋体"/>
                <w:b/>
                <w:bCs/>
                <w:sz w:val="24"/>
                <w:szCs w:val="24"/>
                <w:lang w:val="en-US" w:eastAsia="zh-CN"/>
              </w:rPr>
              <w:t>及</w:t>
            </w:r>
            <w:r>
              <w:rPr>
                <w:rFonts w:hint="eastAsia" w:ascii="宋体" w:hAnsi="宋体"/>
                <w:b/>
                <w:bCs/>
                <w:sz w:val="24"/>
                <w:szCs w:val="24"/>
                <w:lang w:val="en-US" w:eastAsia="zh-Hans"/>
              </w:rPr>
              <w:t>创客</w:t>
            </w:r>
            <w:r>
              <w:rPr>
                <w:rFonts w:hint="eastAsia" w:ascii="宋体" w:hAnsi="宋体"/>
                <w:b/>
                <w:bCs/>
                <w:sz w:val="24"/>
                <w:szCs w:val="24"/>
              </w:rPr>
              <w:t>教育</w:t>
            </w:r>
          </w:p>
          <w:p>
            <w:pPr>
              <w:snapToGrid w:val="0"/>
              <w:spacing w:line="360" w:lineRule="auto"/>
              <w:ind w:firstLine="480"/>
              <w:rPr>
                <w:rFonts w:hint="eastAsia" w:ascii="宋体" w:hAnsi="宋体"/>
                <w:sz w:val="24"/>
                <w:szCs w:val="24"/>
              </w:rPr>
            </w:pPr>
            <w:r>
              <w:rPr>
                <w:rFonts w:hint="eastAsia" w:ascii="宋体" w:hAnsi="宋体"/>
                <w:sz w:val="24"/>
                <w:szCs w:val="24"/>
              </w:rPr>
              <w:t>STEM</w:t>
            </w:r>
            <w:r>
              <w:rPr>
                <w:rFonts w:hint="eastAsia" w:ascii="宋体" w:hAnsi="宋体"/>
                <w:sz w:val="24"/>
                <w:szCs w:val="24"/>
                <w:lang w:eastAsia="zh-Hans"/>
              </w:rPr>
              <w:t>、</w:t>
            </w:r>
            <w:r>
              <w:rPr>
                <w:rFonts w:hint="eastAsia" w:ascii="宋体" w:hAnsi="宋体"/>
                <w:sz w:val="24"/>
                <w:szCs w:val="24"/>
                <w:lang w:val="en-US" w:eastAsia="zh-Hans"/>
              </w:rPr>
              <w:t>创客</w:t>
            </w:r>
            <w:r>
              <w:rPr>
                <w:rFonts w:hint="eastAsia" w:ascii="宋体" w:hAnsi="宋体"/>
                <w:sz w:val="24"/>
                <w:szCs w:val="24"/>
              </w:rPr>
              <w:t>教育</w:t>
            </w:r>
            <w:r>
              <w:rPr>
                <w:rFonts w:hint="eastAsia" w:ascii="宋体" w:hAnsi="宋体"/>
                <w:sz w:val="24"/>
                <w:szCs w:val="24"/>
                <w:lang w:val="en-US" w:eastAsia="zh-Hans"/>
              </w:rPr>
              <w:t>方向面向中小学跨学科和创新教学研究</w:t>
            </w:r>
            <w:r>
              <w:rPr>
                <w:rFonts w:hint="eastAsia" w:ascii="宋体" w:hAnsi="宋体"/>
                <w:sz w:val="24"/>
                <w:szCs w:val="24"/>
              </w:rPr>
              <w:t>。</w:t>
            </w:r>
            <w:r>
              <w:rPr>
                <w:rFonts w:hint="eastAsia" w:ascii="宋体" w:hAnsi="宋体"/>
                <w:sz w:val="24"/>
                <w:szCs w:val="24"/>
                <w:lang w:val="en-US" w:eastAsia="zh-Hans"/>
              </w:rPr>
              <w:t>该</w:t>
            </w:r>
            <w:r>
              <w:rPr>
                <w:rFonts w:hint="eastAsia" w:ascii="宋体" w:hAnsi="宋体"/>
                <w:sz w:val="24"/>
                <w:szCs w:val="24"/>
              </w:rPr>
              <w:t>方向</w:t>
            </w:r>
            <w:r>
              <w:rPr>
                <w:rFonts w:hint="eastAsia" w:ascii="宋体" w:hAnsi="宋体"/>
                <w:sz w:val="24"/>
                <w:szCs w:val="24"/>
                <w:lang w:val="en-US" w:eastAsia="zh-Hans"/>
              </w:rPr>
              <w:t>主要探索课程设计方法和教学</w:t>
            </w:r>
            <w:r>
              <w:rPr>
                <w:rFonts w:hint="eastAsia" w:ascii="宋体" w:hAnsi="宋体"/>
                <w:sz w:val="24"/>
                <w:szCs w:val="24"/>
              </w:rPr>
              <w:t>技术</w:t>
            </w:r>
            <w:r>
              <w:rPr>
                <w:rFonts w:hint="eastAsia" w:ascii="宋体" w:hAnsi="宋体"/>
                <w:sz w:val="24"/>
                <w:szCs w:val="24"/>
                <w:lang w:val="en-US" w:eastAsia="zh-Hans"/>
              </w:rPr>
              <w:t>的</w:t>
            </w:r>
            <w:r>
              <w:rPr>
                <w:rFonts w:hint="eastAsia" w:ascii="宋体" w:hAnsi="宋体"/>
                <w:sz w:val="24"/>
                <w:szCs w:val="24"/>
              </w:rPr>
              <w:t>应用</w:t>
            </w:r>
            <w:r>
              <w:rPr>
                <w:rFonts w:hint="eastAsia" w:ascii="宋体" w:hAnsi="宋体"/>
                <w:sz w:val="24"/>
                <w:szCs w:val="24"/>
                <w:lang w:val="en-US" w:eastAsia="zh-Hans"/>
              </w:rPr>
              <w:t>方式</w:t>
            </w:r>
            <w:r>
              <w:rPr>
                <w:rFonts w:hint="eastAsia" w:ascii="宋体" w:hAnsi="宋体"/>
                <w:sz w:val="24"/>
                <w:szCs w:val="24"/>
              </w:rPr>
              <w:t>，如：STEM课程设计</w:t>
            </w:r>
            <w:r>
              <w:rPr>
                <w:rFonts w:hint="eastAsia" w:ascii="宋体" w:hAnsi="宋体"/>
                <w:sz w:val="24"/>
                <w:szCs w:val="24"/>
                <w:lang w:val="en-US" w:eastAsia="zh-Hans"/>
              </w:rPr>
              <w:t>与开发</w:t>
            </w:r>
            <w:r>
              <w:rPr>
                <w:rFonts w:hint="eastAsia" w:ascii="宋体" w:hAnsi="宋体"/>
                <w:sz w:val="24"/>
                <w:szCs w:val="24"/>
              </w:rPr>
              <w:t>、STEM</w:t>
            </w:r>
            <w:r>
              <w:rPr>
                <w:rFonts w:hint="eastAsia" w:ascii="宋体" w:hAnsi="宋体"/>
                <w:sz w:val="24"/>
                <w:szCs w:val="24"/>
                <w:lang w:val="en-US" w:eastAsia="zh-Hans"/>
              </w:rPr>
              <w:t>和创客</w:t>
            </w:r>
            <w:r>
              <w:rPr>
                <w:rFonts w:hint="eastAsia" w:ascii="宋体" w:hAnsi="宋体"/>
                <w:sz w:val="24"/>
                <w:szCs w:val="24"/>
              </w:rPr>
              <w:t>教师教育、中小学生工程教育、儿童编程教育</w:t>
            </w:r>
            <w:r>
              <w:rPr>
                <w:rFonts w:hint="eastAsia" w:ascii="宋体" w:hAnsi="宋体"/>
                <w:sz w:val="24"/>
                <w:szCs w:val="24"/>
                <w:lang w:eastAsia="zh-Hans"/>
              </w:rPr>
              <w:t>、</w:t>
            </w:r>
            <w:r>
              <w:rPr>
                <w:rFonts w:hint="eastAsia" w:ascii="宋体" w:hAnsi="宋体"/>
                <w:sz w:val="24"/>
                <w:szCs w:val="24"/>
              </w:rPr>
              <w:t>AR/VR</w:t>
            </w:r>
            <w:r>
              <w:rPr>
                <w:rFonts w:hint="eastAsia" w:ascii="宋体" w:hAnsi="宋体"/>
                <w:sz w:val="24"/>
                <w:szCs w:val="24"/>
                <w:lang w:val="en-US" w:eastAsia="zh-Hans"/>
              </w:rPr>
              <w:t>教学应用</w:t>
            </w:r>
            <w:r>
              <w:rPr>
                <w:rFonts w:hint="eastAsia" w:ascii="宋体" w:hAnsi="宋体"/>
                <w:sz w:val="24"/>
                <w:szCs w:val="24"/>
              </w:rPr>
              <w:t xml:space="preserve">等。 </w:t>
            </w:r>
          </w:p>
          <w:p>
            <w:pPr>
              <w:widowControl w:val="0"/>
              <w:spacing w:line="360" w:lineRule="auto"/>
              <w:rPr>
                <w:rFonts w:hint="eastAsia" w:ascii="宋体" w:hAnsi="宋体"/>
                <w:sz w:val="24"/>
                <w:szCs w:val="24"/>
              </w:rPr>
            </w:pPr>
          </w:p>
          <w:p>
            <w:pPr>
              <w:widowControl w:val="0"/>
              <w:spacing w:line="360" w:lineRule="auto"/>
              <w:rPr>
                <w:rFonts w:hint="default" w:ascii="宋体" w:hAnsi="宋体" w:eastAsia="宋体"/>
                <w:b/>
                <w:bCs/>
                <w:sz w:val="24"/>
                <w:szCs w:val="24"/>
                <w:lang w:val="en-US" w:eastAsia="zh-CN"/>
              </w:rPr>
            </w:pPr>
            <w:r>
              <w:rPr>
                <w:rFonts w:hint="eastAsia" w:ascii="宋体" w:hAnsi="宋体"/>
                <w:b/>
                <w:bCs/>
                <w:sz w:val="24"/>
                <w:szCs w:val="24"/>
              </w:rPr>
              <w:t>3</w:t>
            </w:r>
            <w:r>
              <w:rPr>
                <w:rFonts w:ascii="宋体" w:hAnsi="宋体"/>
                <w:b/>
                <w:bCs/>
                <w:sz w:val="24"/>
                <w:szCs w:val="24"/>
              </w:rPr>
              <w:t>.</w:t>
            </w:r>
            <w:r>
              <w:rPr>
                <w:rFonts w:hint="eastAsia" w:ascii="宋体" w:hAnsi="宋体"/>
                <w:b/>
                <w:bCs/>
                <w:sz w:val="24"/>
                <w:szCs w:val="24"/>
              </w:rPr>
              <w:t>场馆学习</w:t>
            </w:r>
            <w:r>
              <w:rPr>
                <w:rFonts w:hint="eastAsia" w:ascii="宋体" w:hAnsi="宋体"/>
                <w:b/>
                <w:bCs/>
                <w:sz w:val="24"/>
                <w:szCs w:val="24"/>
                <w:lang w:eastAsia="zh-CN"/>
              </w:rPr>
              <w:t>、</w:t>
            </w:r>
            <w:r>
              <w:rPr>
                <w:rFonts w:hint="eastAsia" w:ascii="宋体" w:hAnsi="宋体"/>
                <w:b/>
                <w:bCs/>
                <w:sz w:val="24"/>
                <w:szCs w:val="24"/>
                <w:lang w:val="en-US" w:eastAsia="zh-CN"/>
              </w:rPr>
              <w:t>学习空间</w:t>
            </w:r>
          </w:p>
          <w:p>
            <w:pPr>
              <w:widowControl w:val="0"/>
              <w:spacing w:line="360" w:lineRule="auto"/>
              <w:ind w:firstLine="480" w:firstLineChars="200"/>
              <w:rPr>
                <w:rFonts w:hint="eastAsia" w:ascii="宋体" w:hAnsi="宋体"/>
                <w:sz w:val="24"/>
                <w:szCs w:val="24"/>
                <w:lang w:eastAsia="zh-Hans"/>
              </w:rPr>
            </w:pPr>
            <w:r>
              <w:rPr>
                <w:rFonts w:hint="eastAsia" w:ascii="宋体" w:hAnsi="宋体"/>
                <w:sz w:val="24"/>
                <w:szCs w:val="24"/>
              </w:rPr>
              <w:t>场馆</w:t>
            </w:r>
            <w:r>
              <w:rPr>
                <w:rFonts w:hint="eastAsia" w:ascii="宋体" w:hAnsi="宋体"/>
                <w:sz w:val="24"/>
                <w:szCs w:val="24"/>
                <w:lang w:val="en-US" w:eastAsia="zh-CN"/>
              </w:rPr>
              <w:t>学习研究方向聚焦</w:t>
            </w:r>
            <w:r>
              <w:rPr>
                <w:rFonts w:hint="eastAsia" w:ascii="宋体" w:hAnsi="宋体"/>
                <w:sz w:val="24"/>
                <w:szCs w:val="24"/>
              </w:rPr>
              <w:t>博物馆</w:t>
            </w:r>
            <w:r>
              <w:rPr>
                <w:rFonts w:hint="eastAsia" w:ascii="宋体" w:hAnsi="宋体"/>
                <w:sz w:val="24"/>
                <w:szCs w:val="24"/>
                <w:lang w:val="en-US" w:eastAsia="zh-CN"/>
              </w:rPr>
              <w:t>这类</w:t>
            </w:r>
            <w:r>
              <w:rPr>
                <w:rFonts w:hint="eastAsia" w:ascii="宋体" w:hAnsi="宋体"/>
                <w:sz w:val="24"/>
                <w:szCs w:val="24"/>
              </w:rPr>
              <w:t>非正式学习环境</w:t>
            </w:r>
            <w:r>
              <w:rPr>
                <w:rFonts w:hint="eastAsia" w:ascii="宋体" w:hAnsi="宋体"/>
                <w:sz w:val="24"/>
                <w:szCs w:val="24"/>
                <w:lang w:val="en-US" w:eastAsia="zh-CN"/>
              </w:rPr>
              <w:t>中人是如何学习的，博物馆如何</w:t>
            </w:r>
            <w:r>
              <w:rPr>
                <w:rFonts w:hint="eastAsia" w:ascii="宋体" w:hAnsi="宋体"/>
                <w:sz w:val="24"/>
                <w:szCs w:val="24"/>
              </w:rPr>
              <w:t>与</w:t>
            </w:r>
            <w:r>
              <w:rPr>
                <w:rFonts w:hint="eastAsia" w:ascii="宋体" w:hAnsi="宋体"/>
                <w:sz w:val="24"/>
                <w:szCs w:val="24"/>
                <w:lang w:val="en-US" w:eastAsia="zh-CN"/>
              </w:rPr>
              <w:t>学校、家庭等学习</w:t>
            </w:r>
            <w:r>
              <w:rPr>
                <w:rFonts w:hint="eastAsia" w:ascii="宋体" w:hAnsi="宋体"/>
                <w:sz w:val="24"/>
                <w:szCs w:val="24"/>
              </w:rPr>
              <w:t>环境</w:t>
            </w:r>
            <w:r>
              <w:rPr>
                <w:rFonts w:hint="eastAsia" w:ascii="宋体" w:hAnsi="宋体"/>
                <w:sz w:val="24"/>
                <w:szCs w:val="24"/>
                <w:lang w:val="en-US" w:eastAsia="zh-CN"/>
              </w:rPr>
              <w:t>联系，发挥协同育人的价值。该方向主要探索：</w:t>
            </w:r>
            <w:r>
              <w:rPr>
                <w:rFonts w:hint="eastAsia" w:ascii="宋体" w:hAnsi="宋体"/>
                <w:sz w:val="24"/>
                <w:szCs w:val="24"/>
              </w:rPr>
              <w:t>博物馆空间</w:t>
            </w:r>
            <w:r>
              <w:rPr>
                <w:rFonts w:hint="eastAsia" w:ascii="宋体" w:hAnsi="宋体"/>
                <w:sz w:val="24"/>
                <w:szCs w:val="24"/>
                <w:lang w:eastAsia="zh-CN"/>
              </w:rPr>
              <w:t>、</w:t>
            </w:r>
            <w:r>
              <w:rPr>
                <w:rFonts w:hint="eastAsia" w:ascii="宋体" w:hAnsi="宋体"/>
                <w:sz w:val="24"/>
                <w:szCs w:val="24"/>
                <w:lang w:val="en-US" w:eastAsia="zh-CN"/>
              </w:rPr>
              <w:t>展品、技术</w:t>
            </w:r>
            <w:r>
              <w:rPr>
                <w:rFonts w:hint="eastAsia" w:ascii="宋体" w:hAnsi="宋体"/>
                <w:sz w:val="24"/>
                <w:szCs w:val="24"/>
              </w:rPr>
              <w:t>对学习的影响；博物馆环境中的学习设计</w:t>
            </w:r>
            <w:r>
              <w:rPr>
                <w:rFonts w:hint="eastAsia" w:ascii="宋体" w:hAnsi="宋体"/>
                <w:sz w:val="24"/>
                <w:szCs w:val="24"/>
                <w:lang w:eastAsia="zh-CN"/>
              </w:rPr>
              <w:t>，</w:t>
            </w:r>
            <w:r>
              <w:rPr>
                <w:rFonts w:hint="eastAsia" w:ascii="宋体" w:hAnsi="宋体"/>
                <w:sz w:val="24"/>
                <w:szCs w:val="24"/>
              </w:rPr>
              <w:t>学习技术及中介工具的开发</w:t>
            </w:r>
            <w:r>
              <w:rPr>
                <w:rFonts w:hint="eastAsia" w:ascii="宋体" w:hAnsi="宋体"/>
                <w:sz w:val="24"/>
                <w:szCs w:val="24"/>
                <w:lang w:eastAsia="zh-CN"/>
              </w:rPr>
              <w:t>；</w:t>
            </w:r>
            <w:r>
              <w:rPr>
                <w:rFonts w:hint="eastAsia" w:ascii="宋体" w:hAnsi="宋体"/>
                <w:sz w:val="24"/>
                <w:szCs w:val="24"/>
                <w:lang w:val="en-US" w:eastAsia="zh-CN"/>
              </w:rPr>
              <w:t>博物馆环境中的</w:t>
            </w:r>
            <w:r>
              <w:rPr>
                <w:rFonts w:hint="eastAsia" w:ascii="宋体" w:hAnsi="宋体"/>
                <w:sz w:val="24"/>
                <w:szCs w:val="24"/>
              </w:rPr>
              <w:t>学习评估研究；</w:t>
            </w:r>
            <w:r>
              <w:rPr>
                <w:rFonts w:hint="eastAsia" w:ascii="宋体" w:hAnsi="宋体"/>
                <w:sz w:val="24"/>
                <w:szCs w:val="24"/>
                <w:lang w:val="en-US" w:eastAsia="zh-CN"/>
              </w:rPr>
              <w:t>非正式</w:t>
            </w:r>
            <w:r>
              <w:rPr>
                <w:rFonts w:hint="eastAsia" w:ascii="宋体" w:hAnsi="宋体"/>
                <w:sz w:val="24"/>
                <w:szCs w:val="24"/>
              </w:rPr>
              <w:t>环境中的跨学科学习</w:t>
            </w:r>
            <w:r>
              <w:rPr>
                <w:rFonts w:hint="eastAsia" w:ascii="宋体" w:hAnsi="宋体"/>
                <w:sz w:val="24"/>
                <w:szCs w:val="24"/>
                <w:lang w:eastAsia="zh-CN"/>
              </w:rPr>
              <w:t>；</w:t>
            </w:r>
            <w:r>
              <w:rPr>
                <w:rFonts w:hint="eastAsia" w:ascii="宋体" w:hAnsi="宋体"/>
                <w:sz w:val="24"/>
                <w:szCs w:val="24"/>
                <w:lang w:val="en-US" w:eastAsia="zh-CN"/>
              </w:rPr>
              <w:t>数字场馆和数字技术的应用</w:t>
            </w:r>
            <w:r>
              <w:rPr>
                <w:rFonts w:hint="eastAsia" w:ascii="宋体" w:hAnsi="宋体"/>
                <w:sz w:val="24"/>
                <w:szCs w:val="24"/>
              </w:rPr>
              <w:t>等</w:t>
            </w:r>
            <w:r>
              <w:rPr>
                <w:rFonts w:hint="eastAsia" w:ascii="宋体" w:hAnsi="宋体"/>
                <w:sz w:val="24"/>
                <w:szCs w:val="24"/>
                <w:lang w:eastAsia="zh-Hans"/>
              </w:rPr>
              <w:t>。</w:t>
            </w:r>
          </w:p>
          <w:p>
            <w:pPr>
              <w:widowControl w:val="0"/>
              <w:spacing w:line="360" w:lineRule="auto"/>
              <w:ind w:firstLine="480" w:firstLineChars="200"/>
              <w:rPr>
                <w:rFonts w:hint="eastAsia" w:ascii="宋体" w:hAnsi="宋体"/>
                <w:sz w:val="24"/>
                <w:szCs w:val="24"/>
                <w:lang w:eastAsia="zh-Hans"/>
              </w:rPr>
            </w:pPr>
          </w:p>
          <w:p>
            <w:pPr>
              <w:widowControl w:val="0"/>
              <w:spacing w:line="360" w:lineRule="auto"/>
              <w:rPr>
                <w:rFonts w:hint="default" w:ascii="宋体" w:hAnsi="宋体" w:eastAsia="宋体"/>
                <w:b/>
                <w:bCs/>
                <w:sz w:val="24"/>
                <w:szCs w:val="24"/>
                <w:lang w:val="en-US" w:eastAsia="zh-CN"/>
              </w:rPr>
            </w:pPr>
            <w:r>
              <w:rPr>
                <w:rFonts w:hint="eastAsia" w:ascii="宋体" w:hAnsi="宋体"/>
                <w:b/>
                <w:bCs/>
                <w:sz w:val="24"/>
                <w:szCs w:val="24"/>
                <w:lang w:val="en-US" w:eastAsia="zh-CN"/>
              </w:rPr>
              <w:t>4.人工智能教育</w:t>
            </w:r>
          </w:p>
          <w:p>
            <w:pPr>
              <w:widowControl w:val="0"/>
              <w:spacing w:line="360" w:lineRule="auto"/>
              <w:ind w:firstLine="480" w:firstLineChars="200"/>
              <w:rPr>
                <w:rFonts w:hint="eastAsia" w:ascii="宋体" w:hAnsi="宋体" w:eastAsia="宋体"/>
                <w:sz w:val="24"/>
                <w:szCs w:val="24"/>
                <w:lang w:eastAsia="zh-CN"/>
              </w:rPr>
            </w:pPr>
            <w:r>
              <w:rPr>
                <w:rFonts w:hint="eastAsia" w:ascii="宋体" w:hAnsi="宋体"/>
                <w:sz w:val="24"/>
                <w:szCs w:val="24"/>
                <w:lang w:val="en-US" w:eastAsia="zh-CN"/>
              </w:rPr>
              <w:t>人工智能教育方向主要研究中小学的人工智能课程设计与开发和对应的教学方法。同时，该方向还会关注</w:t>
            </w:r>
            <w:r>
              <w:rPr>
                <w:rFonts w:hint="eastAsia" w:ascii="宋体" w:hAnsi="宋体"/>
                <w:sz w:val="24"/>
                <w:szCs w:val="24"/>
              </w:rPr>
              <w:t>生成式人工智能对教育形态的影响</w:t>
            </w:r>
            <w:r>
              <w:rPr>
                <w:rFonts w:hint="eastAsia" w:ascii="宋体" w:hAnsi="宋体"/>
                <w:sz w:val="24"/>
                <w:szCs w:val="24"/>
                <w:lang w:eastAsia="zh-CN"/>
              </w:rPr>
              <w:t>，</w:t>
            </w:r>
            <w:r>
              <w:rPr>
                <w:rFonts w:hint="eastAsia" w:ascii="宋体" w:hAnsi="宋体"/>
                <w:sz w:val="24"/>
                <w:szCs w:val="24"/>
                <w:lang w:val="en-US" w:eastAsia="zh-CN"/>
              </w:rPr>
              <w:t>研究</w:t>
            </w:r>
            <w:r>
              <w:rPr>
                <w:rFonts w:hint="eastAsia" w:ascii="宋体" w:hAnsi="宋体"/>
                <w:sz w:val="24"/>
                <w:szCs w:val="24"/>
              </w:rPr>
              <w:t>智能技术赋能教学与学习、新型人工智能技术教育应用的发展趋势，尤其</w:t>
            </w:r>
            <w:r>
              <w:rPr>
                <w:rFonts w:hint="eastAsia" w:ascii="宋体" w:hAnsi="宋体"/>
                <w:sz w:val="24"/>
                <w:szCs w:val="24"/>
                <w:lang w:val="en-US" w:eastAsia="zh-CN"/>
              </w:rPr>
              <w:t>是</w:t>
            </w:r>
            <w:r>
              <w:rPr>
                <w:rFonts w:hint="eastAsia" w:ascii="宋体" w:hAnsi="宋体"/>
                <w:sz w:val="24"/>
                <w:szCs w:val="24"/>
              </w:rPr>
              <w:t>AIGC在教育变革中的角色和在课堂中的实际应用</w:t>
            </w:r>
            <w:r>
              <w:rPr>
                <w:rFonts w:hint="eastAsia" w:ascii="宋体" w:hAnsi="宋体"/>
                <w:sz w:val="24"/>
                <w:szCs w:val="24"/>
                <w:lang w:eastAsia="zh-CN"/>
              </w:rPr>
              <w:t>。</w:t>
            </w:r>
          </w:p>
          <w:p>
            <w:pPr>
              <w:widowControl w:val="0"/>
              <w:numPr>
                <w:ilvl w:val="0"/>
                <w:numId w:val="0"/>
              </w:numPr>
              <w:rPr>
                <w:rFonts w:hint="eastAsia" w:ascii="宋体" w:hAnsi="宋体"/>
                <w:b/>
                <w:bCs/>
                <w:sz w:val="24"/>
                <w:szCs w:val="24"/>
              </w:rPr>
            </w:pPr>
          </w:p>
          <w:p>
            <w:pPr>
              <w:widowControl w:val="0"/>
              <w:numPr>
                <w:ilvl w:val="0"/>
                <w:numId w:val="2"/>
              </w:numPr>
              <w:spacing w:line="360" w:lineRule="auto"/>
              <w:rPr>
                <w:rFonts w:hint="eastAsia" w:ascii="宋体" w:hAnsi="宋体"/>
                <w:b/>
                <w:bCs/>
                <w:sz w:val="24"/>
                <w:szCs w:val="24"/>
              </w:rPr>
            </w:pPr>
            <w:r>
              <w:rPr>
                <w:rFonts w:hint="eastAsia" w:ascii="宋体" w:hAnsi="宋体"/>
                <w:b/>
                <w:bCs/>
                <w:sz w:val="24"/>
                <w:szCs w:val="24"/>
              </w:rPr>
              <w:t>教学设计和绩效技术</w:t>
            </w:r>
          </w:p>
          <w:p>
            <w:pPr>
              <w:widowControl w:val="0"/>
              <w:numPr>
                <w:ilvl w:val="0"/>
                <w:numId w:val="0"/>
              </w:numPr>
              <w:spacing w:line="360" w:lineRule="auto"/>
              <w:ind w:firstLine="480" w:firstLineChars="200"/>
              <w:rPr>
                <w:rFonts w:hint="eastAsia" w:ascii="宋体" w:hAnsi="宋体"/>
                <w:sz w:val="24"/>
                <w:szCs w:val="24"/>
              </w:rPr>
            </w:pPr>
            <w:r>
              <w:rPr>
                <w:rFonts w:hint="eastAsia" w:ascii="宋体" w:hAnsi="宋体"/>
                <w:sz w:val="24"/>
                <w:szCs w:val="24"/>
              </w:rPr>
              <w:t>绩效技术关注在数字化时代中各类组织应用教学设计和绩效技术的相关理论和方法，改进学校和企事业单位中的人才培养与绩效提升的相关问题。该研究方向强调运用系统分析的方法，并使用问题诊断、问题分析、方案设计、方案实施和评价的系统过程。该研究方向主要围绕数字环境中的学习科学研究、学校教学与管理的改进、组织的人力资源开发、工作场所学习与学习型组织等。</w:t>
            </w:r>
          </w:p>
          <w:p>
            <w:pPr>
              <w:widowControl w:val="0"/>
              <w:spacing w:line="360" w:lineRule="auto"/>
              <w:ind w:firstLine="480" w:firstLineChars="200"/>
              <w:rPr>
                <w:rFonts w:hint="eastAsia" w:ascii="宋体" w:hAnsi="宋体"/>
                <w:sz w:val="24"/>
                <w:szCs w:val="24"/>
              </w:rPr>
            </w:pPr>
          </w:p>
          <w:p>
            <w:pPr>
              <w:widowControl w:val="0"/>
              <w:spacing w:line="360" w:lineRule="auto"/>
              <w:ind w:firstLine="480" w:firstLineChars="200"/>
              <w:rPr>
                <w:rFonts w:hint="eastAsia" w:ascii="宋体" w:hAnsi="宋体"/>
                <w:sz w:val="24"/>
                <w:szCs w:val="24"/>
              </w:rPr>
            </w:pPr>
          </w:p>
          <w:p>
            <w:pPr>
              <w:widowControl w:val="0"/>
              <w:spacing w:line="360" w:lineRule="auto"/>
              <w:ind w:firstLine="482" w:firstLineChars="200"/>
              <w:rPr>
                <w:rFonts w:hint="default" w:ascii="宋体" w:hAnsi="宋体" w:eastAsia="宋体"/>
                <w:sz w:val="24"/>
                <w:szCs w:val="24"/>
                <w:lang w:val="en-US" w:eastAsia="zh-Hans"/>
              </w:rPr>
            </w:pPr>
            <w:r>
              <w:rPr>
                <w:rFonts w:hint="eastAsia" w:ascii="宋体" w:hAnsi="宋体"/>
                <w:b/>
                <w:bCs/>
                <w:sz w:val="24"/>
                <w:szCs w:val="24"/>
                <w:lang w:val="en-US" w:eastAsia="zh-Hans"/>
              </w:rPr>
              <w:t>主要课程：</w:t>
            </w:r>
            <w:r>
              <w:rPr>
                <w:rFonts w:hint="eastAsia" w:ascii="宋体" w:hAnsi="宋体"/>
                <w:sz w:val="24"/>
                <w:szCs w:val="24"/>
                <w:lang w:val="en-US" w:eastAsia="zh-Hans"/>
              </w:rPr>
              <w:t>高级教学设计、绩效技术导论、教育数据处理、教育技术学研究方法、教育技术研究前沿、学习技术、</w:t>
            </w:r>
            <w:r>
              <w:rPr>
                <w:rFonts w:hint="eastAsia" w:ascii="宋体" w:hAnsi="宋体"/>
                <w:sz w:val="24"/>
                <w:szCs w:val="24"/>
                <w:lang w:val="en-US" w:eastAsia="zh-CN"/>
              </w:rPr>
              <w:t>学习分析、</w:t>
            </w:r>
            <w:r>
              <w:rPr>
                <w:rFonts w:hint="eastAsia" w:ascii="宋体" w:hAnsi="宋体"/>
                <w:sz w:val="24"/>
                <w:szCs w:val="24"/>
                <w:lang w:val="en-US" w:eastAsia="zh-Hans"/>
              </w:rPr>
              <w:t>博物馆学习设计、STEM教育研究、培训课程设计与开发、网络课程设计与开发</w:t>
            </w:r>
            <w:r>
              <w:rPr>
                <w:rFonts w:hint="eastAsia" w:ascii="宋体" w:hAnsi="宋体"/>
                <w:sz w:val="24"/>
                <w:szCs w:val="24"/>
                <w:lang w:val="en-US" w:eastAsia="zh-CN"/>
              </w:rPr>
              <w:t>、智能教育</w:t>
            </w:r>
            <w:r>
              <w:rPr>
                <w:rFonts w:hint="eastAsia" w:ascii="宋体" w:hAnsi="宋体"/>
                <w:sz w:val="24"/>
                <w:szCs w:val="24"/>
                <w:lang w:val="en-US" w:eastAsia="zh-Hans"/>
              </w:rPr>
              <w:t>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D4FC2B"/>
    <w:multiLevelType w:val="singleLevel"/>
    <w:tmpl w:val="21D4FC2B"/>
    <w:lvl w:ilvl="0" w:tentative="0">
      <w:start w:val="5"/>
      <w:numFmt w:val="decimal"/>
      <w:lvlText w:val="%1."/>
      <w:lvlJc w:val="left"/>
      <w:pPr>
        <w:tabs>
          <w:tab w:val="left" w:pos="312"/>
        </w:tabs>
      </w:pPr>
    </w:lvl>
  </w:abstractNum>
  <w:abstractNum w:abstractNumId="1">
    <w:nsid w:val="42C66725"/>
    <w:multiLevelType w:val="multilevel"/>
    <w:tmpl w:val="42C6672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xNGI1M2Y0OTgwY2E2ZjNjMzlkZGE1ODBjY2FmZTAifQ=="/>
  </w:docVars>
  <w:rsids>
    <w:rsidRoot w:val="00F334D1"/>
    <w:rsid w:val="000C6065"/>
    <w:rsid w:val="004768A5"/>
    <w:rsid w:val="00950B75"/>
    <w:rsid w:val="00C97E4B"/>
    <w:rsid w:val="00D0698C"/>
    <w:rsid w:val="00F334D1"/>
    <w:rsid w:val="00F72410"/>
    <w:rsid w:val="1FFEE56C"/>
    <w:rsid w:val="72F6E6D4"/>
    <w:rsid w:val="75F5DF57"/>
    <w:rsid w:val="7F25625B"/>
    <w:rsid w:val="BF7F62E1"/>
    <w:rsid w:val="BFFF8AB2"/>
    <w:rsid w:val="CF1E78A8"/>
    <w:rsid w:val="D9FD09D6"/>
    <w:rsid w:val="F7953E92"/>
    <w:rsid w:val="F7BFBE82"/>
    <w:rsid w:val="FDFE4A76"/>
    <w:rsid w:val="FFFE4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1041</Words>
  <Characters>1079</Characters>
  <Lines>17</Lines>
  <Paragraphs>4</Paragraphs>
  <TotalTime>7</TotalTime>
  <ScaleCrop>false</ScaleCrop>
  <LinksUpToDate>false</LinksUpToDate>
  <CharactersWithSpaces>1081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2020-07-06T23:38:00Z</dcterms:created>
  <dc:creator>dongyq</dc:creator>
  <cp:lastModifiedBy>WPS_1708594615</cp:lastModifiedBy>
  <dcterms:modified xsi:type="dcterms:W3CDTF">2024-07-05T08:44:00Z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093A8C10F0534D8A86578666EA13D1A2_43</vt:lpwstr>
  </property>
</Properties>
</file>