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2A14A">
      <w:pPr>
        <w:widowControl/>
        <w:spacing w:line="300" w:lineRule="atLeast"/>
        <w:jc w:val="center"/>
        <w:rPr>
          <w:rFonts w:ascii="华文中宋" w:hAnsi="华文中宋" w:eastAsia="华文中宋" w:cs="Arial"/>
          <w:b/>
          <w:bCs/>
          <w:color w:val="5A5A5A"/>
          <w:kern w:val="0"/>
          <w:sz w:val="36"/>
          <w:szCs w:val="36"/>
        </w:rPr>
      </w:pPr>
      <w:r>
        <w:rPr>
          <w:rFonts w:ascii="华文中宋" w:hAnsi="华文中宋" w:eastAsia="华文中宋" w:cs="Arial"/>
          <w:b/>
          <w:bCs/>
          <w:color w:val="5A5A5A"/>
          <w:kern w:val="0"/>
          <w:sz w:val="36"/>
          <w:szCs w:val="36"/>
        </w:rPr>
        <w:t>上海师范大学</w:t>
      </w:r>
    </w:p>
    <w:p w14:paraId="5DE7B32E">
      <w:pPr>
        <w:widowControl/>
        <w:spacing w:line="300" w:lineRule="atLeast"/>
        <w:jc w:val="center"/>
        <w:rPr>
          <w:rFonts w:ascii="华文中宋" w:hAnsi="华文中宋" w:eastAsia="华文中宋" w:cs="Arial"/>
          <w:color w:val="5A5A5A"/>
          <w:kern w:val="0"/>
          <w:sz w:val="36"/>
          <w:szCs w:val="36"/>
        </w:rPr>
      </w:pPr>
      <w:r>
        <w:rPr>
          <w:rFonts w:ascii="华文中宋" w:hAnsi="华文中宋" w:eastAsia="华文中宋" w:cs="Arial"/>
          <w:b/>
          <w:bCs/>
          <w:color w:val="5A5A5A"/>
          <w:kern w:val="0"/>
          <w:sz w:val="36"/>
          <w:szCs w:val="36"/>
        </w:rPr>
        <w:t>创建“安全单位”评比办法</w:t>
      </w:r>
    </w:p>
    <w:p w14:paraId="47190B87">
      <w:pPr>
        <w:widowControl/>
        <w:spacing w:before="156" w:beforeLines="50" w:line="0" w:lineRule="atLeast"/>
        <w:ind w:firstLine="561"/>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Arial" w:hAnsi="Arial" w:eastAsia="宋体" w:cs="Arial"/>
          <w:color w:val="5A5A5A"/>
          <w:kern w:val="0"/>
          <w:sz w:val="18"/>
          <w:szCs w:val="18"/>
        </w:rPr>
        <w:t> </w:t>
      </w:r>
      <w:r>
        <w:rPr>
          <w:rFonts w:ascii="华文仿宋" w:hAnsi="华文仿宋" w:eastAsia="华文仿宋" w:cs="Arial"/>
          <w:color w:val="000000" w:themeColor="text1"/>
          <w:kern w:val="0"/>
          <w:sz w:val="30"/>
          <w:szCs w:val="30"/>
          <w14:textFill>
            <w14:solidFill>
              <w14:schemeClr w14:val="tx1"/>
            </w14:solidFill>
          </w14:textFill>
        </w:rPr>
        <w:t>为了</w:t>
      </w:r>
      <w:r>
        <w:rPr>
          <w:rFonts w:ascii="华文仿宋" w:hAnsi="华文仿宋" w:eastAsia="华文仿宋" w:cs="Arial"/>
          <w:color w:val="000000" w:themeColor="text1"/>
          <w:sz w:val="30"/>
          <w:szCs w:val="30"/>
          <w:shd w:val="clear" w:color="auto" w:fill="FFFFFF"/>
          <w14:textFill>
            <w14:solidFill>
              <w14:schemeClr w14:val="tx1"/>
            </w14:solidFill>
          </w14:textFill>
        </w:rPr>
        <w:t>深化</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安全单位评比工作机制</w:t>
      </w:r>
      <w:r>
        <w:rPr>
          <w:rFonts w:ascii="华文仿宋" w:hAnsi="华文仿宋" w:eastAsia="华文仿宋" w:cs="Arial"/>
          <w:color w:val="000000" w:themeColor="text1"/>
          <w:sz w:val="30"/>
          <w:szCs w:val="30"/>
          <w:shd w:val="clear" w:color="auto" w:fill="FFFFFF"/>
          <w14:textFill>
            <w14:solidFill>
              <w14:schemeClr w14:val="tx1"/>
            </w14:solidFill>
          </w14:textFill>
        </w:rPr>
        <w:t>，不断提高</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我校平安校园</w:t>
      </w:r>
      <w:r>
        <w:rPr>
          <w:rFonts w:ascii="华文仿宋" w:hAnsi="华文仿宋" w:eastAsia="华文仿宋" w:cs="Arial"/>
          <w:color w:val="000000" w:themeColor="text1"/>
          <w:sz w:val="30"/>
          <w:szCs w:val="30"/>
          <w:shd w:val="clear" w:color="auto" w:fill="FFFFFF"/>
          <w14:textFill>
            <w14:solidFill>
              <w14:schemeClr w14:val="tx1"/>
            </w14:solidFill>
          </w14:textFill>
        </w:rPr>
        <w:t>创建水平，使</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各学院各单位</w:t>
      </w:r>
      <w:r>
        <w:rPr>
          <w:rFonts w:ascii="华文仿宋" w:hAnsi="华文仿宋" w:eastAsia="华文仿宋" w:cs="Arial"/>
          <w:color w:val="000000" w:themeColor="text1"/>
          <w:sz w:val="30"/>
          <w:szCs w:val="30"/>
          <w:shd w:val="clear" w:color="auto" w:fill="FFFFFF"/>
          <w14:textFill>
            <w14:solidFill>
              <w14:schemeClr w14:val="tx1"/>
            </w14:solidFill>
          </w14:textFill>
        </w:rPr>
        <w:t>的</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安全</w:t>
      </w:r>
      <w:r>
        <w:rPr>
          <w:rFonts w:ascii="华文仿宋" w:hAnsi="华文仿宋" w:eastAsia="华文仿宋" w:cs="Arial"/>
          <w:color w:val="000000" w:themeColor="text1"/>
          <w:sz w:val="30"/>
          <w:szCs w:val="30"/>
          <w:shd w:val="clear" w:color="auto" w:fill="FFFFFF"/>
          <w14:textFill>
            <w14:solidFill>
              <w14:schemeClr w14:val="tx1"/>
            </w14:solidFill>
          </w14:textFill>
        </w:rPr>
        <w:t>工作进一步规范化、制度化、常态化，发挥</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二级</w:t>
      </w:r>
      <w:r>
        <w:rPr>
          <w:rFonts w:ascii="华文仿宋" w:hAnsi="华文仿宋" w:eastAsia="华文仿宋" w:cs="Arial"/>
          <w:color w:val="000000" w:themeColor="text1"/>
          <w:sz w:val="30"/>
          <w:szCs w:val="30"/>
          <w:shd w:val="clear" w:color="auto" w:fill="FFFFFF"/>
          <w14:textFill>
            <w14:solidFill>
              <w14:schemeClr w14:val="tx1"/>
            </w14:solidFill>
          </w14:textFill>
        </w:rPr>
        <w:t>单位在提升</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平安校园</w:t>
      </w:r>
      <w:r>
        <w:rPr>
          <w:rFonts w:ascii="华文仿宋" w:hAnsi="华文仿宋" w:eastAsia="华文仿宋" w:cs="Arial"/>
          <w:color w:val="000000" w:themeColor="text1"/>
          <w:sz w:val="30"/>
          <w:szCs w:val="30"/>
          <w:shd w:val="clear" w:color="auto" w:fill="FFFFFF"/>
          <w14:textFill>
            <w14:solidFill>
              <w14:schemeClr w14:val="tx1"/>
            </w14:solidFill>
          </w14:textFill>
        </w:rPr>
        <w:t>过程中的示范引领作用</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对照市教委创建“平安校园”有关文件精神，特制定本办法：</w:t>
      </w:r>
    </w:p>
    <w:p w14:paraId="1D9F4615">
      <w:pPr>
        <w:widowControl/>
        <w:spacing w:before="50" w:line="0" w:lineRule="atLeast"/>
        <w:ind w:firstLine="560"/>
        <w:jc w:val="left"/>
        <w:rPr>
          <w:rFonts w:ascii="华文仿宋" w:hAnsi="华文仿宋" w:eastAsia="华文仿宋" w:cs="Arial"/>
          <w:b/>
          <w:color w:val="000000" w:themeColor="text1"/>
          <w:sz w:val="30"/>
          <w:szCs w:val="30"/>
          <w:shd w:val="clear" w:color="auto" w:fill="FFFFFF"/>
          <w14:textFill>
            <w14:solidFill>
              <w14:schemeClr w14:val="tx1"/>
            </w14:solidFill>
          </w14:textFill>
        </w:rPr>
      </w:pPr>
      <w:r>
        <w:rPr>
          <w:rFonts w:ascii="华文仿宋" w:hAnsi="华文仿宋" w:eastAsia="华文仿宋" w:cs="Arial"/>
          <w:b/>
          <w:color w:val="000000" w:themeColor="text1"/>
          <w:sz w:val="30"/>
          <w:szCs w:val="30"/>
          <w:shd w:val="clear" w:color="auto" w:fill="FFFFFF"/>
          <w14:textFill>
            <w14:solidFill>
              <w14:schemeClr w14:val="tx1"/>
            </w14:solidFill>
          </w14:textFill>
        </w:rPr>
        <w:t>一、指导思想和目标任务</w:t>
      </w:r>
    </w:p>
    <w:p w14:paraId="0E0DE20E">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（一）</w:t>
      </w:r>
      <w:r>
        <w:rPr>
          <w:rFonts w:ascii="华文仿宋" w:hAnsi="华文仿宋" w:eastAsia="华文仿宋" w:cs="Arial"/>
          <w:color w:val="000000" w:themeColor="text1"/>
          <w:sz w:val="30"/>
          <w:szCs w:val="30"/>
          <w:shd w:val="clear" w:color="auto" w:fill="FFFFFF"/>
          <w14:textFill>
            <w14:solidFill>
              <w14:schemeClr w14:val="tx1"/>
            </w14:solidFill>
          </w14:textFill>
        </w:rPr>
        <w:t>指导思想：全面贯彻落实维护校园安全与稳定</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相关安全工作会议的指示</w:t>
      </w:r>
      <w:r>
        <w:rPr>
          <w:rFonts w:ascii="华文仿宋" w:hAnsi="华文仿宋" w:eastAsia="华文仿宋" w:cs="Arial"/>
          <w:color w:val="000000" w:themeColor="text1"/>
          <w:sz w:val="30"/>
          <w:szCs w:val="30"/>
          <w:shd w:val="clear" w:color="auto" w:fill="FFFFFF"/>
          <w14:textFill>
            <w14:solidFill>
              <w14:schemeClr w14:val="tx1"/>
            </w14:solidFill>
          </w14:textFill>
        </w:rPr>
        <w:t>，充分</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调动</w:t>
      </w:r>
      <w:r>
        <w:rPr>
          <w:rFonts w:ascii="华文仿宋" w:hAnsi="华文仿宋" w:eastAsia="华文仿宋" w:cs="Arial"/>
          <w:color w:val="000000" w:themeColor="text1"/>
          <w:sz w:val="30"/>
          <w:szCs w:val="30"/>
          <w:shd w:val="clear" w:color="auto" w:fill="FFFFFF"/>
          <w14:textFill>
            <w14:solidFill>
              <w14:schemeClr w14:val="tx1"/>
            </w14:solidFill>
          </w14:textFill>
        </w:rPr>
        <w:t>广大师生参与</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平安</w:t>
      </w:r>
      <w:r>
        <w:rPr>
          <w:rFonts w:ascii="华文仿宋" w:hAnsi="华文仿宋" w:eastAsia="华文仿宋" w:cs="Arial"/>
          <w:color w:val="000000" w:themeColor="text1"/>
          <w:sz w:val="30"/>
          <w:szCs w:val="30"/>
          <w:shd w:val="clear" w:color="auto" w:fill="FFFFFF"/>
          <w14:textFill>
            <w14:solidFill>
              <w14:schemeClr w14:val="tx1"/>
            </w14:solidFill>
          </w14:textFill>
        </w:rPr>
        <w:t>校园</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创建</w:t>
      </w:r>
      <w:r>
        <w:rPr>
          <w:rFonts w:ascii="华文仿宋" w:hAnsi="华文仿宋" w:eastAsia="华文仿宋" w:cs="Arial"/>
          <w:color w:val="000000" w:themeColor="text1"/>
          <w:sz w:val="30"/>
          <w:szCs w:val="30"/>
          <w:shd w:val="clear" w:color="auto" w:fill="FFFFFF"/>
          <w14:textFill>
            <w14:solidFill>
              <w14:schemeClr w14:val="tx1"/>
            </w14:solidFill>
          </w14:textFill>
        </w:rPr>
        <w:t>的积极性，引导</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评比</w:t>
      </w:r>
      <w:r>
        <w:rPr>
          <w:rFonts w:ascii="华文仿宋" w:hAnsi="华文仿宋" w:eastAsia="华文仿宋" w:cs="Arial"/>
          <w:color w:val="000000" w:themeColor="text1"/>
          <w:sz w:val="30"/>
          <w:szCs w:val="30"/>
          <w:shd w:val="clear" w:color="auto" w:fill="FFFFFF"/>
          <w14:textFill>
            <w14:solidFill>
              <w14:schemeClr w14:val="tx1"/>
            </w14:solidFill>
          </w14:textFill>
        </w:rPr>
        <w:t>活动稳步推进、普遍开展</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使每一名师生都成为</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评比</w:t>
      </w:r>
      <w:r>
        <w:rPr>
          <w:rFonts w:ascii="华文仿宋" w:hAnsi="华文仿宋" w:eastAsia="华文仿宋" w:cs="Arial"/>
          <w:color w:val="000000" w:themeColor="text1"/>
          <w:sz w:val="30"/>
          <w:szCs w:val="30"/>
          <w:shd w:val="clear" w:color="auto" w:fill="FFFFFF"/>
          <w14:textFill>
            <w14:solidFill>
              <w14:schemeClr w14:val="tx1"/>
            </w14:solidFill>
          </w14:textFill>
        </w:rPr>
        <w:t>活动的实践者和受益者</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以创建“安全单位”为抓手，全面</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落实</w:t>
      </w:r>
      <w:r>
        <w:rPr>
          <w:rFonts w:ascii="华文仿宋" w:hAnsi="华文仿宋" w:eastAsia="华文仿宋" w:cs="Arial"/>
          <w:color w:val="000000" w:themeColor="text1"/>
          <w:sz w:val="30"/>
          <w:szCs w:val="30"/>
          <w:shd w:val="clear" w:color="auto" w:fill="FFFFFF"/>
          <w14:textFill>
            <w14:solidFill>
              <w14:schemeClr w14:val="tx1"/>
            </w14:solidFill>
          </w14:textFill>
        </w:rPr>
        <w:t>“平安校园”</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夯实校园</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安全</w:t>
      </w:r>
      <w:r>
        <w:rPr>
          <w:rFonts w:ascii="华文仿宋" w:hAnsi="华文仿宋" w:eastAsia="华文仿宋" w:cs="Arial"/>
          <w:color w:val="000000" w:themeColor="text1"/>
          <w:sz w:val="30"/>
          <w:szCs w:val="30"/>
          <w:shd w:val="clear" w:color="auto" w:fill="FFFFFF"/>
          <w14:textFill>
            <w14:solidFill>
              <w14:schemeClr w14:val="tx1"/>
            </w14:solidFill>
          </w14:textFill>
        </w:rPr>
        <w:t>根基</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p>
    <w:p w14:paraId="2C2FF693">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（二）目标</w:t>
      </w:r>
      <w:r>
        <w:rPr>
          <w:rFonts w:ascii="华文仿宋" w:hAnsi="华文仿宋" w:eastAsia="华文仿宋" w:cs="Arial"/>
          <w:color w:val="000000" w:themeColor="text1"/>
          <w:sz w:val="30"/>
          <w:szCs w:val="30"/>
          <w:shd w:val="clear" w:color="auto" w:fill="FFFFFF"/>
          <w14:textFill>
            <w14:solidFill>
              <w14:schemeClr w14:val="tx1"/>
            </w14:solidFill>
          </w14:textFill>
        </w:rPr>
        <w:t>任务：各学院</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单位要把通过创建“安全单位”活动纳入到精神文明创建工作的总体规划中，以建立、健全安全管理长效机制为核心，以加强安全防范基础建设为重点，以落实各项安全防范措施为主线，动员和依靠广大师生员工积极参与</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有效防止重大刑事案件和重大事故的发生；有效减少各类案事件的发生；提高师生员工的安全防范意识；努力实现政治稳定、治安安定、和谐有序的校园环境。</w:t>
      </w:r>
    </w:p>
    <w:p w14:paraId="7BCFCAB3">
      <w:pPr>
        <w:widowControl/>
        <w:spacing w:before="50" w:line="0" w:lineRule="atLeast"/>
        <w:ind w:firstLine="560"/>
        <w:jc w:val="left"/>
        <w:rPr>
          <w:rFonts w:ascii="华文仿宋" w:hAnsi="华文仿宋" w:eastAsia="华文仿宋" w:cs="Arial"/>
          <w:b/>
          <w:color w:val="000000" w:themeColor="text1"/>
          <w:sz w:val="30"/>
          <w:szCs w:val="30"/>
          <w:shd w:val="clear" w:color="auto" w:fill="FFFFFF"/>
          <w14:textFill>
            <w14:solidFill>
              <w14:schemeClr w14:val="tx1"/>
            </w14:solidFill>
          </w14:textFill>
        </w:rPr>
      </w:pPr>
      <w:r>
        <w:rPr>
          <w:rFonts w:ascii="华文仿宋" w:hAnsi="华文仿宋" w:eastAsia="华文仿宋" w:cs="Arial"/>
          <w:b/>
          <w:color w:val="000000" w:themeColor="text1"/>
          <w:sz w:val="30"/>
          <w:szCs w:val="30"/>
          <w:shd w:val="clear" w:color="auto" w:fill="FFFFFF"/>
          <w14:textFill>
            <w14:solidFill>
              <w14:schemeClr w14:val="tx1"/>
            </w14:solidFill>
          </w14:textFill>
        </w:rPr>
        <w:t>二、申报</w:t>
      </w:r>
      <w:r>
        <w:rPr>
          <w:rFonts w:hint="eastAsia" w:ascii="华文仿宋" w:hAnsi="华文仿宋" w:eastAsia="华文仿宋" w:cs="Arial"/>
          <w:b/>
          <w:color w:val="000000" w:themeColor="text1"/>
          <w:sz w:val="30"/>
          <w:szCs w:val="30"/>
          <w:shd w:val="clear" w:color="auto" w:fill="FFFFFF"/>
          <w14:textFill>
            <w14:solidFill>
              <w14:schemeClr w14:val="tx1"/>
            </w14:solidFill>
          </w14:textFill>
        </w:rPr>
        <w:t>要求</w:t>
      </w:r>
    </w:p>
    <w:p w14:paraId="3F706481">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下列单位必须参加学校年度“安全单位”评比工作：各二级学院（不含旅专）、图书馆、资产经营公司、后勤</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服务</w:t>
      </w:r>
      <w:r>
        <w:rPr>
          <w:rFonts w:ascii="华文仿宋" w:hAnsi="华文仿宋" w:eastAsia="华文仿宋" w:cs="Arial"/>
          <w:color w:val="000000" w:themeColor="text1"/>
          <w:sz w:val="30"/>
          <w:szCs w:val="30"/>
          <w:shd w:val="clear" w:color="auto" w:fill="FFFFFF"/>
          <w14:textFill>
            <w14:solidFill>
              <w14:schemeClr w14:val="tx1"/>
            </w14:solidFill>
          </w14:textFill>
        </w:rPr>
        <w:t>中心</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、接待中心</w:t>
      </w:r>
      <w:r>
        <w:rPr>
          <w:rFonts w:ascii="华文仿宋" w:hAnsi="华文仿宋" w:eastAsia="华文仿宋" w:cs="Arial"/>
          <w:color w:val="000000" w:themeColor="text1"/>
          <w:sz w:val="30"/>
          <w:szCs w:val="30"/>
          <w:shd w:val="clear" w:color="auto" w:fill="FFFFFF"/>
          <w14:textFill>
            <w14:solidFill>
              <w14:schemeClr w14:val="tx1"/>
            </w14:solidFill>
          </w14:textFill>
        </w:rPr>
        <w:t>。</w:t>
      </w:r>
    </w:p>
    <w:p w14:paraId="5309CAA1">
      <w:pPr>
        <w:widowControl/>
        <w:numPr>
          <w:ilvl w:val="0"/>
          <w:numId w:val="1"/>
        </w:numPr>
        <w:spacing w:before="50" w:line="0" w:lineRule="atLeast"/>
        <w:ind w:firstLine="560"/>
        <w:jc w:val="left"/>
        <w:rPr>
          <w:rFonts w:ascii="华文仿宋" w:hAnsi="华文仿宋" w:eastAsia="华文仿宋" w:cs="Arial"/>
          <w:b/>
          <w:color w:val="000000" w:themeColor="text1"/>
          <w:sz w:val="30"/>
          <w:szCs w:val="30"/>
          <w:shd w:val="clear" w:color="auto" w:fill="FFFFFF"/>
          <w14:textFill>
            <w14:solidFill>
              <w14:schemeClr w14:val="tx1"/>
            </w14:solidFill>
          </w14:textFill>
        </w:rPr>
      </w:pPr>
      <w:r>
        <w:rPr>
          <w:rFonts w:ascii="华文仿宋" w:hAnsi="华文仿宋" w:eastAsia="华文仿宋" w:cs="Arial"/>
          <w:b/>
          <w:color w:val="000000" w:themeColor="text1"/>
          <w:sz w:val="30"/>
          <w:szCs w:val="30"/>
          <w:shd w:val="clear" w:color="auto" w:fill="FFFFFF"/>
          <w14:textFill>
            <w14:solidFill>
              <w14:schemeClr w14:val="tx1"/>
            </w14:solidFill>
          </w14:textFill>
        </w:rPr>
        <w:t>评比方式</w:t>
      </w:r>
    </w:p>
    <w:p w14:paraId="4C3BD012">
      <w:pPr>
        <w:widowControl/>
        <w:spacing w:before="50" w:line="0" w:lineRule="atLeast"/>
        <w:ind w:firstLine="560"/>
        <w:jc w:val="left"/>
        <w:rPr>
          <w:rFonts w:ascii="华文仿宋" w:hAnsi="华文仿宋" w:eastAsia="华文仿宋" w:cs="Arial"/>
          <w:bCs/>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b/>
          <w:bCs/>
          <w:color w:val="000000" w:themeColor="text1"/>
          <w:sz w:val="30"/>
          <w:szCs w:val="30"/>
          <w:shd w:val="clear" w:color="auto" w:fill="FFFFFF"/>
          <w14:textFill>
            <w14:solidFill>
              <w14:schemeClr w14:val="tx1"/>
            </w14:solidFill>
          </w14:textFill>
        </w:rPr>
        <w:t xml:space="preserve"> </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“安全单位”评比工作每年进行一次，当年11月为各单位（学院）申报、检查、评比阶段，12月为公示、表彰阶段。</w:t>
      </w:r>
    </w:p>
    <w:p w14:paraId="7DACB31F">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各项评比考核数据采集时间为</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上一</w:t>
      </w:r>
      <w:r>
        <w:rPr>
          <w:rFonts w:ascii="华文仿宋" w:hAnsi="华文仿宋" w:eastAsia="华文仿宋" w:cs="Arial"/>
          <w:color w:val="000000" w:themeColor="text1"/>
          <w:sz w:val="30"/>
          <w:szCs w:val="30"/>
          <w:shd w:val="clear" w:color="auto" w:fill="FFFFFF"/>
          <w14:textFill>
            <w14:solidFill>
              <w14:schemeClr w14:val="tx1"/>
            </w14:solidFill>
          </w14:textFill>
        </w:rPr>
        <w:t>年11月</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1</w:t>
      </w:r>
      <w:r>
        <w:rPr>
          <w:rFonts w:ascii="华文仿宋" w:hAnsi="华文仿宋" w:eastAsia="华文仿宋" w:cs="Arial"/>
          <w:color w:val="000000" w:themeColor="text1"/>
          <w:sz w:val="30"/>
          <w:szCs w:val="30"/>
          <w:shd w:val="clear" w:color="auto" w:fill="FFFFFF"/>
          <w14:textFill>
            <w14:solidFill>
              <w14:schemeClr w14:val="tx1"/>
            </w14:solidFill>
          </w14:textFill>
        </w:rPr>
        <w:t>6日至</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当</w:t>
      </w:r>
      <w:r>
        <w:rPr>
          <w:rFonts w:ascii="华文仿宋" w:hAnsi="华文仿宋" w:eastAsia="华文仿宋" w:cs="Arial"/>
          <w:color w:val="000000" w:themeColor="text1"/>
          <w:sz w:val="30"/>
          <w:szCs w:val="30"/>
          <w:shd w:val="clear" w:color="auto" w:fill="FFFFFF"/>
          <w14:textFill>
            <w14:solidFill>
              <w14:schemeClr w14:val="tx1"/>
            </w14:solidFill>
          </w14:textFill>
        </w:rPr>
        <w:t>年11月15日</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 xml:space="preserve">。 </w:t>
      </w:r>
    </w:p>
    <w:p w14:paraId="5FB25EB7">
      <w:pPr>
        <w:widowControl/>
        <w:spacing w:before="50" w:line="0" w:lineRule="atLeast"/>
        <w:ind w:firstLine="560"/>
        <w:jc w:val="left"/>
        <w:rPr>
          <w:rFonts w:ascii="华文仿宋" w:hAnsi="华文仿宋" w:eastAsia="华文仿宋" w:cs="Arial"/>
          <w:b/>
          <w:color w:val="000000" w:themeColor="text1"/>
          <w:sz w:val="30"/>
          <w:szCs w:val="30"/>
          <w:shd w:val="clear" w:color="auto" w:fill="FFFFFF"/>
          <w14:textFill>
            <w14:solidFill>
              <w14:schemeClr w14:val="tx1"/>
            </w14:solidFill>
          </w14:textFill>
        </w:rPr>
      </w:pPr>
      <w:r>
        <w:rPr>
          <w:rFonts w:ascii="Arial" w:hAnsi="Arial" w:eastAsia="宋体" w:cs="Arial"/>
          <w:color w:val="000000"/>
          <w:kern w:val="0"/>
          <w:sz w:val="18"/>
          <w:szCs w:val="18"/>
        </w:rPr>
        <w:t> </w:t>
      </w:r>
      <w:r>
        <w:rPr>
          <w:rFonts w:ascii="华文仿宋" w:hAnsi="华文仿宋" w:eastAsia="华文仿宋" w:cs="Arial"/>
          <w:b/>
          <w:color w:val="000000" w:themeColor="text1"/>
          <w:sz w:val="30"/>
          <w:szCs w:val="30"/>
          <w:shd w:val="clear" w:color="auto" w:fill="FFFFFF"/>
          <w14:textFill>
            <w14:solidFill>
              <w14:schemeClr w14:val="tx1"/>
            </w14:solidFill>
          </w14:textFill>
        </w:rPr>
        <w:t>四、表彰与奖惩</w:t>
      </w:r>
    </w:p>
    <w:p w14:paraId="04109DB2">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根据各单位（学院）的申报材料和年度各项数据，校安全办公室对申报单位进行验收、评分，经校</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社会治安</w:t>
      </w:r>
      <w:r>
        <w:rPr>
          <w:rFonts w:ascii="华文仿宋" w:hAnsi="华文仿宋" w:eastAsia="华文仿宋" w:cs="Arial"/>
          <w:color w:val="000000" w:themeColor="text1"/>
          <w:sz w:val="30"/>
          <w:szCs w:val="30"/>
          <w:shd w:val="clear" w:color="auto" w:fill="FFFFFF"/>
          <w14:textFill>
            <w14:solidFill>
              <w14:schemeClr w14:val="tx1"/>
            </w14:solidFill>
          </w14:textFill>
        </w:rPr>
        <w:t>综合治理委员会审核，“安全单位”评分达到</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60</w:t>
      </w:r>
      <w:r>
        <w:rPr>
          <w:rFonts w:ascii="华文仿宋" w:hAnsi="华文仿宋" w:eastAsia="华文仿宋" w:cs="Arial"/>
          <w:color w:val="000000" w:themeColor="text1"/>
          <w:sz w:val="30"/>
          <w:szCs w:val="30"/>
          <w:shd w:val="clear" w:color="auto" w:fill="FFFFFF"/>
          <w14:textFill>
            <w14:solidFill>
              <w14:schemeClr w14:val="tx1"/>
            </w14:solidFill>
          </w14:textFill>
        </w:rPr>
        <w:t>分以上的单位（学院），经公示无异议的授予年度“安全单位”称号。</w:t>
      </w:r>
    </w:p>
    <w:p w14:paraId="34A11DB1">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未申报“安全单位”评比的、被一票否决的及分数未达到</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60</w:t>
      </w:r>
      <w:r>
        <w:rPr>
          <w:rFonts w:ascii="华文仿宋" w:hAnsi="华文仿宋" w:eastAsia="华文仿宋" w:cs="Arial"/>
          <w:color w:val="000000" w:themeColor="text1"/>
          <w:sz w:val="30"/>
          <w:szCs w:val="30"/>
          <w:shd w:val="clear" w:color="auto" w:fill="FFFFFF"/>
          <w14:textFill>
            <w14:solidFill>
              <w14:schemeClr w14:val="tx1"/>
            </w14:solidFill>
          </w14:textFill>
        </w:rPr>
        <w:t>分的单位（学院）不授予年度“安全单位”称号</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建议学校对该单位（学院）及主要负责人取消在当年内评选相关先进、考核优秀等。</w:t>
      </w:r>
    </w:p>
    <w:p w14:paraId="251572C2">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b/>
          <w:color w:val="000000" w:themeColor="text1"/>
          <w:sz w:val="30"/>
          <w:szCs w:val="30"/>
          <w:shd w:val="clear" w:color="auto" w:fill="FFFFFF"/>
          <w14:textFill>
            <w14:solidFill>
              <w14:schemeClr w14:val="tx1"/>
            </w14:solidFill>
          </w14:textFill>
        </w:rPr>
        <w:t>五、组织实施</w:t>
      </w:r>
      <w:r>
        <w:rPr>
          <w:rFonts w:ascii="华文仿宋" w:hAnsi="华文仿宋" w:eastAsia="华文仿宋" w:cs="Arial"/>
          <w:color w:val="000000" w:themeColor="text1"/>
          <w:sz w:val="30"/>
          <w:szCs w:val="30"/>
          <w:shd w:val="clear" w:color="auto" w:fill="FFFFFF"/>
          <w14:textFill>
            <w14:solidFill>
              <w14:schemeClr w14:val="tx1"/>
            </w14:solidFill>
          </w14:textFill>
        </w:rPr>
        <w:br w:type="textWrapping"/>
      </w:r>
      <w:r>
        <w:rPr>
          <w:rFonts w:ascii="华文仿宋" w:hAnsi="华文仿宋" w:eastAsia="华文仿宋" w:cs="Arial"/>
          <w:color w:val="000000" w:themeColor="text1"/>
          <w:sz w:val="30"/>
          <w:szCs w:val="30"/>
          <w:shd w:val="clear" w:color="auto" w:fill="FFFFFF"/>
          <w14:textFill>
            <w14:solidFill>
              <w14:schemeClr w14:val="tx1"/>
            </w14:solidFill>
          </w14:textFill>
        </w:rPr>
        <w:t>　　“安全单位”的年度评比</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由校</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社会治安</w:t>
      </w:r>
      <w:r>
        <w:rPr>
          <w:rFonts w:ascii="华文仿宋" w:hAnsi="华文仿宋" w:eastAsia="华文仿宋" w:cs="Arial"/>
          <w:color w:val="000000" w:themeColor="text1"/>
          <w:sz w:val="30"/>
          <w:szCs w:val="30"/>
          <w:shd w:val="clear" w:color="auto" w:fill="FFFFFF"/>
          <w14:textFill>
            <w14:solidFill>
              <w14:schemeClr w14:val="tx1"/>
            </w14:solidFill>
          </w14:textFill>
        </w:rPr>
        <w:t>综合治理委员会</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授权校安全办</w:t>
      </w:r>
      <w:r>
        <w:rPr>
          <w:rFonts w:ascii="华文仿宋" w:hAnsi="华文仿宋" w:eastAsia="华文仿宋" w:cs="Arial"/>
          <w:color w:val="000000" w:themeColor="text1"/>
          <w:sz w:val="30"/>
          <w:szCs w:val="30"/>
          <w:shd w:val="clear" w:color="auto" w:fill="FFFFFF"/>
          <w14:textFill>
            <w14:solidFill>
              <w14:schemeClr w14:val="tx1"/>
            </w14:solidFill>
          </w14:textFill>
        </w:rPr>
        <w:t>组织实施。</w:t>
      </w:r>
    </w:p>
    <w:p w14:paraId="24E21C9C">
      <w:pPr>
        <w:widowControl/>
        <w:spacing w:before="50" w:line="0" w:lineRule="atLeast"/>
        <w:ind w:firstLine="560"/>
        <w:jc w:val="left"/>
        <w:rPr>
          <w:rFonts w:ascii="华文仿宋" w:hAnsi="华文仿宋" w:eastAsia="华文仿宋" w:cs="Arial"/>
          <w:b/>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 </w:t>
      </w:r>
      <w:r>
        <w:rPr>
          <w:rFonts w:ascii="华文仿宋" w:hAnsi="华文仿宋" w:eastAsia="华文仿宋" w:cs="Arial"/>
          <w:b/>
          <w:color w:val="000000" w:themeColor="text1"/>
          <w:sz w:val="30"/>
          <w:szCs w:val="30"/>
          <w:shd w:val="clear" w:color="auto" w:fill="FFFFFF"/>
          <w14:textFill>
            <w14:solidFill>
              <w14:schemeClr w14:val="tx1"/>
            </w14:solidFill>
          </w14:textFill>
        </w:rPr>
        <w:t>六、上海师范大学创建“安全单位”评估指标</w:t>
      </w:r>
    </w:p>
    <w:p w14:paraId="18BE97C4">
      <w:pPr>
        <w:widowControl/>
        <w:spacing w:before="50" w:line="0" w:lineRule="atLeast"/>
        <w:ind w:firstLine="560"/>
        <w:jc w:val="left"/>
        <w:rPr>
          <w:rFonts w:ascii="华文仿宋" w:hAnsi="华文仿宋" w:eastAsia="华文仿宋" w:cs="Arial"/>
          <w:b/>
          <w:color w:val="000000" w:themeColor="text1"/>
          <w:sz w:val="30"/>
          <w:szCs w:val="30"/>
          <w:shd w:val="clear" w:color="auto" w:fill="FFFFFF"/>
          <w14:textFill>
            <w14:solidFill>
              <w14:schemeClr w14:val="tx1"/>
            </w14:solidFill>
          </w14:textFill>
        </w:rPr>
      </w:pPr>
      <w:r>
        <w:rPr>
          <w:rFonts w:ascii="华文仿宋" w:hAnsi="华文仿宋" w:eastAsia="华文仿宋" w:cs="Arial"/>
          <w:b/>
          <w:color w:val="000000" w:themeColor="text1"/>
          <w:sz w:val="30"/>
          <w:szCs w:val="30"/>
          <w:shd w:val="clear" w:color="auto" w:fill="FFFFFF"/>
          <w14:textFill>
            <w14:solidFill>
              <w14:schemeClr w14:val="tx1"/>
            </w14:solidFill>
          </w14:textFill>
        </w:rPr>
        <w:t>（一）一票否决指标</w:t>
      </w:r>
    </w:p>
    <w:p w14:paraId="1843F375">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1</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因单位稳定工作不力而引起的缠访、闹访</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、舆情</w:t>
      </w:r>
      <w:r>
        <w:rPr>
          <w:rFonts w:ascii="华文仿宋" w:hAnsi="华文仿宋" w:eastAsia="华文仿宋" w:cs="Arial"/>
          <w:color w:val="000000" w:themeColor="text1"/>
          <w:sz w:val="30"/>
          <w:szCs w:val="30"/>
          <w:shd w:val="clear" w:color="auto" w:fill="FFFFFF"/>
          <w14:textFill>
            <w14:solidFill>
              <w14:schemeClr w14:val="tx1"/>
            </w14:solidFill>
          </w14:textFill>
        </w:rPr>
        <w:t>等不稳定事件</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hint="eastAsia" w:ascii="华文仿宋" w:hAnsi="华文仿宋" w:eastAsia="华文仿宋" w:cs="Arial"/>
          <w:color w:val="0D0D0D" w:themeColor="text1" w:themeTint="F2"/>
          <w:sz w:val="30"/>
          <w:szCs w:val="30"/>
          <w:shd w:val="clear" w:color="auto" w:fill="FFFFFF"/>
          <w14:textFill>
            <w14:solidFill>
              <w14:schemeClr w14:val="tx1">
                <w14:lumMod w14:val="95000"/>
                <w14:lumOff w14:val="5000"/>
              </w14:schemeClr>
            </w14:solidFill>
          </w14:textFill>
        </w:rPr>
        <w:t>群体性事件</w:t>
      </w:r>
      <w:r>
        <w:rPr>
          <w:rFonts w:ascii="华文仿宋" w:hAnsi="华文仿宋" w:eastAsia="华文仿宋" w:cs="Arial"/>
          <w:color w:val="000000" w:themeColor="text1"/>
          <w:sz w:val="30"/>
          <w:szCs w:val="30"/>
          <w:shd w:val="clear" w:color="auto" w:fill="FFFFFF"/>
          <w14:textFill>
            <w14:solidFill>
              <w14:schemeClr w14:val="tx1"/>
            </w14:solidFill>
          </w14:textFill>
        </w:rPr>
        <w:t>，严重影响学校的正常工作秩序</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对学校造成负面影响的。</w:t>
      </w:r>
    </w:p>
    <w:p w14:paraId="45B8CBEF">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2</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因管理不到位、措施不落实、整改不力被上级主管机关通报批评、被媒体曝光或受到经济处罚2万元以上的。</w:t>
      </w:r>
    </w:p>
    <w:p w14:paraId="17D1A2DF">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3.发生危害国家安全案件、</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恐怖犯罪案件、</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八</w:t>
      </w:r>
      <w:r>
        <w:rPr>
          <w:rFonts w:ascii="华文仿宋" w:hAnsi="华文仿宋" w:eastAsia="华文仿宋" w:cs="Arial"/>
          <w:color w:val="000000" w:themeColor="text1"/>
          <w:sz w:val="30"/>
          <w:szCs w:val="30"/>
          <w:shd w:val="clear" w:color="auto" w:fill="FFFFFF"/>
          <w14:textFill>
            <w14:solidFill>
              <w14:schemeClr w14:val="tx1"/>
            </w14:solidFill>
          </w14:textFill>
        </w:rPr>
        <w:t>类</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重大</w:t>
      </w:r>
      <w:r>
        <w:rPr>
          <w:rFonts w:ascii="华文仿宋" w:hAnsi="华文仿宋" w:eastAsia="华文仿宋" w:cs="Arial"/>
          <w:color w:val="000000" w:themeColor="text1"/>
          <w:sz w:val="30"/>
          <w:szCs w:val="30"/>
          <w:shd w:val="clear" w:color="auto" w:fill="FFFFFF"/>
          <w14:textFill>
            <w14:solidFill>
              <w14:schemeClr w14:val="tx1"/>
            </w14:solidFill>
          </w14:textFill>
        </w:rPr>
        <w:t>刑案（杀人、抢劫、强奸、爆炸、放火、投毒、绑架、故意伤害致死）或单位财物一次被盗</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价值</w:t>
      </w:r>
      <w:r>
        <w:rPr>
          <w:rFonts w:ascii="华文仿宋" w:hAnsi="华文仿宋" w:eastAsia="华文仿宋" w:cs="Arial"/>
          <w:color w:val="000000" w:themeColor="text1"/>
          <w:sz w:val="30"/>
          <w:szCs w:val="30"/>
          <w:shd w:val="clear" w:color="auto" w:fill="FFFFFF"/>
          <w14:textFill>
            <w14:solidFill>
              <w14:schemeClr w14:val="tx1"/>
            </w14:solidFill>
          </w14:textFill>
        </w:rPr>
        <w:t>3万元以上案件的。</w:t>
      </w:r>
    </w:p>
    <w:p w14:paraId="4226430B">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4</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发生火灾事故的</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p>
    <w:p w14:paraId="623272B2">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5</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发生有人员</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重伤</w:t>
      </w:r>
      <w:r>
        <w:rPr>
          <w:rFonts w:ascii="华文仿宋" w:hAnsi="华文仿宋" w:eastAsia="华文仿宋" w:cs="Arial"/>
          <w:color w:val="000000" w:themeColor="text1"/>
          <w:sz w:val="30"/>
          <w:szCs w:val="30"/>
          <w:shd w:val="clear" w:color="auto" w:fill="FFFFFF"/>
          <w14:textFill>
            <w14:solidFill>
              <w14:schemeClr w14:val="tx1"/>
            </w14:solidFill>
          </w14:textFill>
        </w:rPr>
        <w:t>以上的生产事故或有责交通事故的。</w:t>
      </w:r>
    </w:p>
    <w:p w14:paraId="539BF292">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6</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发生负有一定管理责</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任的非</w:t>
      </w:r>
      <w:r>
        <w:rPr>
          <w:rFonts w:ascii="华文仿宋" w:hAnsi="华文仿宋" w:eastAsia="华文仿宋" w:cs="Arial"/>
          <w:color w:val="000000" w:themeColor="text1"/>
          <w:sz w:val="30"/>
          <w:szCs w:val="30"/>
          <w:shd w:val="clear" w:color="auto" w:fill="FFFFFF"/>
          <w14:textFill>
            <w14:solidFill>
              <w14:schemeClr w14:val="tx1"/>
            </w14:solidFill>
          </w14:textFill>
        </w:rPr>
        <w:t>正常死亡事故的。</w:t>
      </w:r>
    </w:p>
    <w:p w14:paraId="38EE3F9A">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7</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发生</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5人以上</w:t>
      </w:r>
      <w:r>
        <w:rPr>
          <w:rFonts w:ascii="华文仿宋" w:hAnsi="华文仿宋" w:eastAsia="华文仿宋" w:cs="Arial"/>
          <w:color w:val="000000" w:themeColor="text1"/>
          <w:sz w:val="30"/>
          <w:szCs w:val="30"/>
          <w:shd w:val="clear" w:color="auto" w:fill="FFFFFF"/>
          <w14:textFill>
            <w14:solidFill>
              <w14:schemeClr w14:val="tx1"/>
            </w14:solidFill>
          </w14:textFill>
        </w:rPr>
        <w:t>食物中毒事故的。</w:t>
      </w:r>
    </w:p>
    <w:p w14:paraId="4B8194DC">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8</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单位师生员工违法犯罪率（行政拘留以上）超过千分之二的。</w:t>
      </w:r>
    </w:p>
    <w:p w14:paraId="16DC3418">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9.大学生安全教育网络教学和标准化考试</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学习</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通过率不足90%的。</w:t>
      </w:r>
    </w:p>
    <w:p w14:paraId="7CDD1A19">
      <w:pPr>
        <w:widowControl/>
        <w:spacing w:before="50" w:line="0" w:lineRule="atLeast"/>
        <w:ind w:firstLine="560"/>
        <w:jc w:val="left"/>
        <w:rPr>
          <w:rFonts w:ascii="华文仿宋" w:hAnsi="华文仿宋" w:eastAsia="华文仿宋" w:cs="Arial"/>
          <w:bCs/>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1</w:t>
      </w:r>
      <w:r>
        <w:rPr>
          <w:rFonts w:ascii="华文仿宋" w:hAnsi="华文仿宋" w:eastAsia="华文仿宋" w:cs="Arial"/>
          <w:bCs/>
          <w:color w:val="000000" w:themeColor="text1"/>
          <w:sz w:val="30"/>
          <w:szCs w:val="30"/>
          <w:shd w:val="clear" w:color="auto" w:fill="FFFFFF"/>
          <w14:textFill>
            <w14:solidFill>
              <w14:schemeClr w14:val="tx1"/>
            </w14:solidFill>
          </w14:textFill>
        </w:rPr>
        <w:t>0</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.发生重大紧急情况，故意不报、瞒报、谎报。</w:t>
      </w:r>
    </w:p>
    <w:p w14:paraId="35C6A031">
      <w:pPr>
        <w:widowControl/>
        <w:spacing w:before="50" w:line="0" w:lineRule="atLeast"/>
        <w:ind w:firstLine="560"/>
        <w:jc w:val="left"/>
        <w:rPr>
          <w:rFonts w:ascii="华文仿宋" w:hAnsi="华文仿宋" w:eastAsia="华文仿宋" w:cs="Arial"/>
          <w:color w:val="000000" w:themeColor="text1"/>
          <w:sz w:val="30"/>
          <w:szCs w:val="30"/>
          <w:shd w:val="clear" w:color="auto" w:fill="FFFFFF"/>
          <w14:textFill>
            <w14:solidFill>
              <w14:schemeClr w14:val="tx1"/>
            </w14:solidFill>
          </w14:textFill>
        </w:rPr>
      </w:pPr>
    </w:p>
    <w:p w14:paraId="4BCD09EC">
      <w:pPr>
        <w:widowControl/>
        <w:spacing w:line="0" w:lineRule="atLeast"/>
        <w:ind w:firstLine="280"/>
        <w:jc w:val="left"/>
        <w:rPr>
          <w:rFonts w:ascii="华文仿宋" w:hAnsi="华文仿宋" w:eastAsia="华文仿宋" w:cs="Arial"/>
          <w:b/>
          <w:color w:val="000000" w:themeColor="text1"/>
          <w:sz w:val="30"/>
          <w:szCs w:val="30"/>
          <w:shd w:val="clear" w:color="auto" w:fill="FFFFFF"/>
          <w14:textFill>
            <w14:solidFill>
              <w14:schemeClr w14:val="tx1"/>
            </w14:solidFill>
          </w14:textFill>
        </w:rPr>
      </w:pPr>
      <w:r>
        <w:rPr>
          <w:rFonts w:ascii="华文仿宋" w:hAnsi="华文仿宋" w:eastAsia="华文仿宋" w:cs="Arial"/>
          <w:b/>
          <w:color w:val="000000" w:themeColor="text1"/>
          <w:sz w:val="30"/>
          <w:szCs w:val="30"/>
          <w:shd w:val="clear" w:color="auto" w:fill="FFFFFF"/>
          <w14:textFill>
            <w14:solidFill>
              <w14:schemeClr w14:val="tx1"/>
            </w14:solidFill>
          </w14:textFill>
        </w:rPr>
        <w:t>（二）基本指标</w:t>
      </w:r>
    </w:p>
    <w:tbl>
      <w:tblPr>
        <w:tblStyle w:val="5"/>
        <w:tblW w:w="9436" w:type="dxa"/>
        <w:tblInd w:w="90" w:type="dxa"/>
        <w:tblLayout w:type="autofit"/>
        <w:tblCellMar>
          <w:top w:w="0" w:type="dxa"/>
          <w:left w:w="0" w:type="dxa"/>
          <w:bottom w:w="0" w:type="dxa"/>
          <w:right w:w="0" w:type="dxa"/>
        </w:tblCellMar>
      </w:tblPr>
      <w:tblGrid>
        <w:gridCol w:w="1383"/>
        <w:gridCol w:w="7164"/>
        <w:gridCol w:w="889"/>
      </w:tblGrid>
      <w:tr w14:paraId="41B8B357">
        <w:tblPrEx>
          <w:tblCellMar>
            <w:top w:w="0" w:type="dxa"/>
            <w:left w:w="0" w:type="dxa"/>
            <w:bottom w:w="0" w:type="dxa"/>
            <w:right w:w="0" w:type="dxa"/>
          </w:tblCellMar>
        </w:tblPrEx>
        <w:trPr>
          <w:trHeight w:val="525" w:hRule="atLeast"/>
        </w:trPr>
        <w:tc>
          <w:tcPr>
            <w:tcW w:w="138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D2B327D">
            <w:pPr>
              <w:widowControl/>
              <w:spacing w:line="0" w:lineRule="atLeast"/>
              <w:jc w:val="center"/>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各级指标</w:t>
            </w:r>
          </w:p>
        </w:tc>
        <w:tc>
          <w:tcPr>
            <w:tcW w:w="7164"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83DD224">
            <w:pPr>
              <w:widowControl/>
              <w:spacing w:line="0" w:lineRule="atLeast"/>
              <w:jc w:val="center"/>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评估指标</w:t>
            </w:r>
          </w:p>
        </w:tc>
        <w:tc>
          <w:tcPr>
            <w:tcW w:w="889"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70A60C2">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分值</w:t>
            </w:r>
          </w:p>
        </w:tc>
      </w:tr>
      <w:tr w14:paraId="1AC030F4">
        <w:tblPrEx>
          <w:tblCellMar>
            <w:top w:w="0" w:type="dxa"/>
            <w:left w:w="0" w:type="dxa"/>
            <w:bottom w:w="0" w:type="dxa"/>
            <w:right w:w="0" w:type="dxa"/>
          </w:tblCellMar>
        </w:tblPrEx>
        <w:trPr>
          <w:trHeight w:val="599" w:hRule="atLeast"/>
        </w:trPr>
        <w:tc>
          <w:tcPr>
            <w:tcW w:w="1383"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6E6768">
            <w:pPr>
              <w:widowControl/>
              <w:spacing w:line="0" w:lineRule="atLeast"/>
              <w:jc w:val="center"/>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组织领导（5分）</w:t>
            </w:r>
          </w:p>
        </w:tc>
        <w:tc>
          <w:tcPr>
            <w:tcW w:w="716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29E2515">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1</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建立综合治理领导小组和突发事件领导小组，有兼职安全员</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p>
        </w:tc>
        <w:tc>
          <w:tcPr>
            <w:tcW w:w="88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49B5F14">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1</w:t>
            </w:r>
            <w:r>
              <w:rPr>
                <w:rFonts w:ascii="华文仿宋" w:hAnsi="华文仿宋" w:eastAsia="华文仿宋" w:cs="Arial"/>
                <w:color w:val="000000" w:themeColor="text1"/>
                <w:sz w:val="30"/>
                <w:szCs w:val="30"/>
                <w:shd w:val="clear" w:color="auto" w:fill="FFFFFF"/>
                <w14:textFill>
                  <w14:solidFill>
                    <w14:schemeClr w14:val="tx1"/>
                  </w14:solidFill>
                </w14:textFill>
              </w:rPr>
              <w:t>分</w:t>
            </w:r>
          </w:p>
        </w:tc>
      </w:tr>
      <w:tr w14:paraId="5C0283E0">
        <w:tblPrEx>
          <w:tblCellMar>
            <w:top w:w="0" w:type="dxa"/>
            <w:left w:w="0" w:type="dxa"/>
            <w:bottom w:w="0" w:type="dxa"/>
            <w:right w:w="0" w:type="dxa"/>
          </w:tblCellMar>
        </w:tblPrEx>
        <w:trPr>
          <w:trHeight w:val="764" w:hRule="atLeast"/>
        </w:trPr>
        <w:tc>
          <w:tcPr>
            <w:tcW w:w="0" w:type="auto"/>
            <w:vMerge w:val="continue"/>
            <w:tcBorders>
              <w:top w:val="nil"/>
              <w:left w:val="single" w:color="auto" w:sz="8" w:space="0"/>
              <w:bottom w:val="single" w:color="auto" w:sz="8" w:space="0"/>
              <w:right w:val="single" w:color="auto" w:sz="8" w:space="0"/>
            </w:tcBorders>
            <w:vAlign w:val="center"/>
          </w:tcPr>
          <w:p w14:paraId="3DAF07D1">
            <w:pPr>
              <w:widowControl/>
              <w:spacing w:line="0" w:lineRule="atLeast"/>
              <w:jc w:val="center"/>
              <w:rPr>
                <w:rFonts w:ascii="华文仿宋" w:hAnsi="华文仿宋" w:eastAsia="华文仿宋" w:cs="Arial"/>
                <w:color w:val="000000" w:themeColor="text1"/>
                <w:sz w:val="30"/>
                <w:szCs w:val="30"/>
                <w:shd w:val="clear" w:color="auto" w:fill="FFFFFF"/>
                <w14:textFill>
                  <w14:solidFill>
                    <w14:schemeClr w14:val="tx1"/>
                  </w14:solidFill>
                </w14:textFill>
              </w:rPr>
            </w:pPr>
          </w:p>
        </w:tc>
        <w:tc>
          <w:tcPr>
            <w:tcW w:w="716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E25EB60">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2.安全工作摆到本单位工作议事日程，做到年初有计划，年中有检查，年底有总结</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每年</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单位</w:t>
            </w:r>
            <w:r>
              <w:rPr>
                <w:rFonts w:ascii="华文仿宋" w:hAnsi="华文仿宋" w:eastAsia="华文仿宋" w:cs="Arial"/>
                <w:color w:val="000000" w:themeColor="text1"/>
                <w:sz w:val="30"/>
                <w:szCs w:val="30"/>
                <w:shd w:val="clear" w:color="auto" w:fill="FFFFFF"/>
                <w14:textFill>
                  <w14:solidFill>
                    <w14:schemeClr w14:val="tx1"/>
                  </w14:solidFill>
                </w14:textFill>
              </w:rPr>
              <w:t>的安全会议不少于2次</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，《安全生产手册》记录完备</w:t>
            </w:r>
            <w:r>
              <w:rPr>
                <w:rFonts w:ascii="华文仿宋" w:hAnsi="华文仿宋" w:eastAsia="华文仿宋" w:cs="Arial"/>
                <w:color w:val="000000" w:themeColor="text1"/>
                <w:sz w:val="30"/>
                <w:szCs w:val="30"/>
                <w:shd w:val="clear" w:color="auto" w:fill="FFFFFF"/>
                <w14:textFill>
                  <w14:solidFill>
                    <w14:schemeClr w14:val="tx1"/>
                  </w14:solidFill>
                </w14:textFill>
              </w:rPr>
              <w:t>。</w:t>
            </w:r>
          </w:p>
        </w:tc>
        <w:tc>
          <w:tcPr>
            <w:tcW w:w="88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60388EC">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2分</w:t>
            </w:r>
          </w:p>
        </w:tc>
      </w:tr>
      <w:tr w14:paraId="2CF63F2B">
        <w:tblPrEx>
          <w:tblCellMar>
            <w:top w:w="0" w:type="dxa"/>
            <w:left w:w="0" w:type="dxa"/>
            <w:bottom w:w="0" w:type="dxa"/>
            <w:right w:w="0" w:type="dxa"/>
          </w:tblCellMar>
        </w:tblPrEx>
        <w:trPr>
          <w:trHeight w:val="499" w:hRule="atLeast"/>
        </w:trPr>
        <w:tc>
          <w:tcPr>
            <w:tcW w:w="0" w:type="auto"/>
            <w:vMerge w:val="continue"/>
            <w:tcBorders>
              <w:top w:val="nil"/>
              <w:left w:val="single" w:color="auto" w:sz="8" w:space="0"/>
              <w:bottom w:val="single" w:color="auto" w:sz="8" w:space="0"/>
              <w:right w:val="single" w:color="auto" w:sz="8" w:space="0"/>
            </w:tcBorders>
            <w:vAlign w:val="center"/>
          </w:tcPr>
          <w:p w14:paraId="049F3B84">
            <w:pPr>
              <w:widowControl/>
              <w:spacing w:line="0" w:lineRule="atLeast"/>
              <w:jc w:val="center"/>
              <w:rPr>
                <w:rFonts w:ascii="华文仿宋" w:hAnsi="华文仿宋" w:eastAsia="华文仿宋" w:cs="Arial"/>
                <w:color w:val="000000" w:themeColor="text1"/>
                <w:sz w:val="30"/>
                <w:szCs w:val="30"/>
                <w:shd w:val="clear" w:color="auto" w:fill="FFFFFF"/>
                <w14:textFill>
                  <w14:solidFill>
                    <w14:schemeClr w14:val="tx1"/>
                  </w14:solidFill>
                </w14:textFill>
              </w:rPr>
            </w:pPr>
          </w:p>
        </w:tc>
        <w:tc>
          <w:tcPr>
            <w:tcW w:w="716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B612A40">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3</w:t>
            </w:r>
            <w:r>
              <w:rPr>
                <w:rFonts w:ascii="华文仿宋" w:hAnsi="华文仿宋" w:eastAsia="华文仿宋" w:cs="Arial"/>
                <w:bCs/>
                <w:color w:val="000000" w:themeColor="text1"/>
                <w:sz w:val="30"/>
                <w:szCs w:val="30"/>
                <w:shd w:val="clear" w:color="auto" w:fill="FFFFFF"/>
                <w14:textFill>
                  <w14:solidFill>
                    <w14:schemeClr w14:val="tx1"/>
                  </w14:solidFill>
                </w14:textFill>
              </w:rPr>
              <w:t>.</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出席、</w:t>
            </w:r>
            <w:r>
              <w:rPr>
                <w:rFonts w:ascii="华文仿宋" w:hAnsi="华文仿宋" w:eastAsia="华文仿宋" w:cs="Arial"/>
                <w:color w:val="000000" w:themeColor="text1"/>
                <w:sz w:val="30"/>
                <w:szCs w:val="30"/>
                <w:shd w:val="clear" w:color="auto" w:fill="FFFFFF"/>
                <w14:textFill>
                  <w14:solidFill>
                    <w14:schemeClr w14:val="tx1"/>
                  </w14:solidFill>
                </w14:textFill>
              </w:rPr>
              <w:t>完成学校布置的安全生产工作情况</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p>
        </w:tc>
        <w:tc>
          <w:tcPr>
            <w:tcW w:w="889"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2226882A">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2分</w:t>
            </w:r>
          </w:p>
        </w:tc>
      </w:tr>
      <w:tr w14:paraId="3CE64AE4">
        <w:tblPrEx>
          <w:tblCellMar>
            <w:top w:w="0" w:type="dxa"/>
            <w:left w:w="0" w:type="dxa"/>
            <w:bottom w:w="0" w:type="dxa"/>
            <w:right w:w="0" w:type="dxa"/>
          </w:tblCellMar>
        </w:tblPrEx>
        <w:trPr>
          <w:trHeight w:val="459" w:hRule="atLeast"/>
        </w:trPr>
        <w:tc>
          <w:tcPr>
            <w:tcW w:w="1383"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3F6697">
            <w:pPr>
              <w:widowControl/>
              <w:spacing w:line="0" w:lineRule="atLeast"/>
              <w:jc w:val="center"/>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制度建设（</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5</w:t>
            </w:r>
            <w:r>
              <w:rPr>
                <w:rFonts w:ascii="华文仿宋" w:hAnsi="华文仿宋" w:eastAsia="华文仿宋" w:cs="Arial"/>
                <w:color w:val="000000" w:themeColor="text1"/>
                <w:sz w:val="30"/>
                <w:szCs w:val="30"/>
                <w:shd w:val="clear" w:color="auto" w:fill="FFFFFF"/>
                <w14:textFill>
                  <w14:solidFill>
                    <w14:schemeClr w14:val="tx1"/>
                  </w14:solidFill>
                </w14:textFill>
              </w:rPr>
              <w:t>分）</w:t>
            </w:r>
          </w:p>
        </w:tc>
        <w:tc>
          <w:tcPr>
            <w:tcW w:w="716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B3076CB">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1</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建立健全突发事件处置工作预案，领导班子保持通讯畅通，发生突发事件时能够及时当场、妥善处置</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p>
        </w:tc>
        <w:tc>
          <w:tcPr>
            <w:tcW w:w="88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D48D26A">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1</w:t>
            </w:r>
            <w:r>
              <w:rPr>
                <w:rFonts w:ascii="华文仿宋" w:hAnsi="华文仿宋" w:eastAsia="华文仿宋" w:cs="Arial"/>
                <w:color w:val="000000" w:themeColor="text1"/>
                <w:sz w:val="30"/>
                <w:szCs w:val="30"/>
                <w:shd w:val="clear" w:color="auto" w:fill="FFFFFF"/>
                <w14:textFill>
                  <w14:solidFill>
                    <w14:schemeClr w14:val="tx1"/>
                  </w14:solidFill>
                </w14:textFill>
              </w:rPr>
              <w:t>分</w:t>
            </w:r>
          </w:p>
        </w:tc>
      </w:tr>
      <w:tr w14:paraId="05670C16">
        <w:tblPrEx>
          <w:tblCellMar>
            <w:top w:w="0" w:type="dxa"/>
            <w:left w:w="0" w:type="dxa"/>
            <w:bottom w:w="0" w:type="dxa"/>
            <w:right w:w="0" w:type="dxa"/>
          </w:tblCellMar>
        </w:tblPrEx>
        <w:trPr>
          <w:trHeight w:val="622" w:hRule="atLeast"/>
        </w:trPr>
        <w:tc>
          <w:tcPr>
            <w:tcW w:w="0" w:type="auto"/>
            <w:vMerge w:val="continue"/>
            <w:tcBorders>
              <w:top w:val="nil"/>
              <w:left w:val="single" w:color="auto" w:sz="8" w:space="0"/>
              <w:bottom w:val="single" w:color="auto" w:sz="8" w:space="0"/>
              <w:right w:val="single" w:color="auto" w:sz="8" w:space="0"/>
            </w:tcBorders>
            <w:vAlign w:val="center"/>
          </w:tcPr>
          <w:p w14:paraId="4A73B1B6">
            <w:pPr>
              <w:widowControl/>
              <w:spacing w:line="0" w:lineRule="atLeast"/>
              <w:jc w:val="center"/>
              <w:rPr>
                <w:rFonts w:ascii="华文仿宋" w:hAnsi="华文仿宋" w:eastAsia="华文仿宋" w:cs="Arial"/>
                <w:color w:val="000000" w:themeColor="text1"/>
                <w:sz w:val="30"/>
                <w:szCs w:val="30"/>
                <w:shd w:val="clear" w:color="auto" w:fill="FFFFFF"/>
                <w14:textFill>
                  <w14:solidFill>
                    <w14:schemeClr w14:val="tx1"/>
                  </w14:solidFill>
                </w14:textFill>
              </w:rPr>
            </w:pPr>
          </w:p>
        </w:tc>
        <w:tc>
          <w:tcPr>
            <w:tcW w:w="716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0F61244">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2</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规章制度齐全、上</w:t>
            </w:r>
            <w:r>
              <w:rPr>
                <w:rFonts w:ascii="华文仿宋" w:hAnsi="华文仿宋" w:eastAsia="华文仿宋" w:cs="Arial"/>
                <w:color w:val="000000" w:themeColor="text1"/>
                <w:sz w:val="30"/>
                <w:szCs w:val="30"/>
                <w:u w:color="3093FF"/>
                <w:shd w:val="clear" w:color="auto" w:fill="FFFFFF"/>
                <w14:textFill>
                  <w14:solidFill>
                    <w14:schemeClr w14:val="tx1"/>
                  </w14:solidFill>
                </w14:textFill>
              </w:rPr>
              <w:t>墙</w:t>
            </w:r>
            <w:r>
              <w:rPr>
                <w:rFonts w:ascii="华文仿宋" w:hAnsi="华文仿宋" w:eastAsia="华文仿宋" w:cs="Arial"/>
                <w:color w:val="000000" w:themeColor="text1"/>
                <w:sz w:val="30"/>
                <w:szCs w:val="30"/>
                <w:shd w:val="clear" w:color="auto" w:fill="FFFFFF"/>
                <w14:textFill>
                  <w14:solidFill>
                    <w14:schemeClr w14:val="tx1"/>
                  </w14:solidFill>
                </w14:textFill>
              </w:rPr>
              <w:t>，并严格执行。</w:t>
            </w:r>
          </w:p>
        </w:tc>
        <w:tc>
          <w:tcPr>
            <w:tcW w:w="88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FAB8616">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1</w:t>
            </w:r>
            <w:r>
              <w:rPr>
                <w:rFonts w:ascii="华文仿宋" w:hAnsi="华文仿宋" w:eastAsia="华文仿宋" w:cs="Arial"/>
                <w:color w:val="000000" w:themeColor="text1"/>
                <w:sz w:val="30"/>
                <w:szCs w:val="30"/>
                <w:shd w:val="clear" w:color="auto" w:fill="FFFFFF"/>
                <w14:textFill>
                  <w14:solidFill>
                    <w14:schemeClr w14:val="tx1"/>
                  </w14:solidFill>
                </w14:textFill>
              </w:rPr>
              <w:t>分</w:t>
            </w:r>
          </w:p>
        </w:tc>
      </w:tr>
      <w:tr w14:paraId="7056E9EC">
        <w:tblPrEx>
          <w:tblCellMar>
            <w:top w:w="0" w:type="dxa"/>
            <w:left w:w="0" w:type="dxa"/>
            <w:bottom w:w="0" w:type="dxa"/>
            <w:right w:w="0" w:type="dxa"/>
          </w:tblCellMar>
        </w:tblPrEx>
        <w:trPr>
          <w:trHeight w:val="477" w:hRule="atLeast"/>
        </w:trPr>
        <w:tc>
          <w:tcPr>
            <w:tcW w:w="0" w:type="auto"/>
            <w:vMerge w:val="continue"/>
            <w:tcBorders>
              <w:top w:val="nil"/>
              <w:left w:val="single" w:color="auto" w:sz="8" w:space="0"/>
              <w:bottom w:val="single" w:color="auto" w:sz="8" w:space="0"/>
              <w:right w:val="single" w:color="auto" w:sz="8" w:space="0"/>
            </w:tcBorders>
            <w:vAlign w:val="center"/>
          </w:tcPr>
          <w:p w14:paraId="2FAB0080">
            <w:pPr>
              <w:widowControl/>
              <w:spacing w:line="0" w:lineRule="atLeast"/>
              <w:jc w:val="center"/>
              <w:rPr>
                <w:rFonts w:ascii="华文仿宋" w:hAnsi="华文仿宋" w:eastAsia="华文仿宋" w:cs="Arial"/>
                <w:color w:val="000000" w:themeColor="text1"/>
                <w:sz w:val="30"/>
                <w:szCs w:val="30"/>
                <w:shd w:val="clear" w:color="auto" w:fill="FFFFFF"/>
                <w14:textFill>
                  <w14:solidFill>
                    <w14:schemeClr w14:val="tx1"/>
                  </w14:solidFill>
                </w14:textFill>
              </w:rPr>
            </w:pPr>
          </w:p>
        </w:tc>
        <w:tc>
          <w:tcPr>
            <w:tcW w:w="71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07C28D">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3</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与学校、下属岗位及本部门人员签订安全责任书。</w:t>
            </w:r>
          </w:p>
        </w:tc>
        <w:tc>
          <w:tcPr>
            <w:tcW w:w="88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B7221D2">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1</w:t>
            </w:r>
            <w:r>
              <w:rPr>
                <w:rFonts w:ascii="华文仿宋" w:hAnsi="华文仿宋" w:eastAsia="华文仿宋" w:cs="Arial"/>
                <w:color w:val="000000" w:themeColor="text1"/>
                <w:sz w:val="30"/>
                <w:szCs w:val="30"/>
                <w:shd w:val="clear" w:color="auto" w:fill="FFFFFF"/>
                <w14:textFill>
                  <w14:solidFill>
                    <w14:schemeClr w14:val="tx1"/>
                  </w14:solidFill>
                </w14:textFill>
              </w:rPr>
              <w:t>分</w:t>
            </w:r>
          </w:p>
        </w:tc>
      </w:tr>
      <w:tr w14:paraId="49AA868A">
        <w:tblPrEx>
          <w:tblCellMar>
            <w:top w:w="0" w:type="dxa"/>
            <w:left w:w="0" w:type="dxa"/>
            <w:bottom w:w="0" w:type="dxa"/>
            <w:right w:w="0" w:type="dxa"/>
          </w:tblCellMar>
        </w:tblPrEx>
        <w:trPr>
          <w:trHeight w:val="441" w:hRule="atLeast"/>
        </w:trPr>
        <w:tc>
          <w:tcPr>
            <w:tcW w:w="0" w:type="auto"/>
            <w:vMerge w:val="continue"/>
            <w:tcBorders>
              <w:top w:val="nil"/>
              <w:left w:val="single" w:color="auto" w:sz="8" w:space="0"/>
              <w:bottom w:val="single" w:color="auto" w:sz="8" w:space="0"/>
              <w:right w:val="single" w:color="auto" w:sz="8" w:space="0"/>
            </w:tcBorders>
            <w:vAlign w:val="center"/>
          </w:tcPr>
          <w:p w14:paraId="13948B23">
            <w:pPr>
              <w:widowControl/>
              <w:spacing w:line="0" w:lineRule="atLeast"/>
              <w:jc w:val="center"/>
              <w:rPr>
                <w:rFonts w:ascii="华文仿宋" w:hAnsi="华文仿宋" w:eastAsia="华文仿宋" w:cs="Arial"/>
                <w:color w:val="000000" w:themeColor="text1"/>
                <w:sz w:val="30"/>
                <w:szCs w:val="30"/>
                <w:shd w:val="clear" w:color="auto" w:fill="FFFFFF"/>
                <w14:textFill>
                  <w14:solidFill>
                    <w14:schemeClr w14:val="tx1"/>
                  </w14:solidFill>
                </w14:textFill>
              </w:rPr>
            </w:pPr>
          </w:p>
        </w:tc>
        <w:tc>
          <w:tcPr>
            <w:tcW w:w="71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E3CF7D">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4.</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严格</w:t>
            </w:r>
            <w:r>
              <w:rPr>
                <w:rFonts w:ascii="华文仿宋" w:hAnsi="华文仿宋" w:eastAsia="华文仿宋" w:cs="Arial"/>
                <w:color w:val="000000" w:themeColor="text1"/>
                <w:sz w:val="30"/>
                <w:szCs w:val="30"/>
                <w:shd w:val="clear" w:color="auto" w:fill="FFFFFF"/>
                <w14:textFill>
                  <w14:solidFill>
                    <w14:schemeClr w14:val="tx1"/>
                  </w14:solidFill>
                </w14:textFill>
              </w:rPr>
              <w:t>执行</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安全信息报送工作制度。</w:t>
            </w:r>
          </w:p>
        </w:tc>
        <w:tc>
          <w:tcPr>
            <w:tcW w:w="88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00B697B">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1</w:t>
            </w:r>
            <w:r>
              <w:rPr>
                <w:rFonts w:ascii="华文仿宋" w:hAnsi="华文仿宋" w:eastAsia="华文仿宋" w:cs="Arial"/>
                <w:color w:val="000000" w:themeColor="text1"/>
                <w:sz w:val="30"/>
                <w:szCs w:val="30"/>
                <w:shd w:val="clear" w:color="auto" w:fill="FFFFFF"/>
                <w14:textFill>
                  <w14:solidFill>
                    <w14:schemeClr w14:val="tx1"/>
                  </w14:solidFill>
                </w14:textFill>
              </w:rPr>
              <w:t>分</w:t>
            </w:r>
          </w:p>
        </w:tc>
      </w:tr>
      <w:tr w14:paraId="4AC299B5">
        <w:tblPrEx>
          <w:tblCellMar>
            <w:top w:w="0" w:type="dxa"/>
            <w:left w:w="0" w:type="dxa"/>
            <w:bottom w:w="0" w:type="dxa"/>
            <w:right w:w="0" w:type="dxa"/>
          </w:tblCellMar>
        </w:tblPrEx>
        <w:trPr>
          <w:trHeight w:val="475" w:hRule="atLeast"/>
        </w:trPr>
        <w:tc>
          <w:tcPr>
            <w:tcW w:w="0" w:type="auto"/>
            <w:vMerge w:val="continue"/>
            <w:tcBorders>
              <w:top w:val="nil"/>
              <w:left w:val="single" w:color="auto" w:sz="8" w:space="0"/>
              <w:bottom w:val="single" w:color="auto" w:sz="4" w:space="0"/>
              <w:right w:val="single" w:color="auto" w:sz="8" w:space="0"/>
            </w:tcBorders>
            <w:vAlign w:val="center"/>
          </w:tcPr>
          <w:p w14:paraId="40C59A23">
            <w:pPr>
              <w:widowControl/>
              <w:spacing w:line="0" w:lineRule="atLeast"/>
              <w:jc w:val="center"/>
              <w:rPr>
                <w:rFonts w:ascii="华文仿宋" w:hAnsi="华文仿宋" w:eastAsia="华文仿宋" w:cs="Arial"/>
                <w:color w:val="000000" w:themeColor="text1"/>
                <w:sz w:val="30"/>
                <w:szCs w:val="30"/>
                <w:shd w:val="clear" w:color="auto" w:fill="FFFFFF"/>
                <w14:textFill>
                  <w14:solidFill>
                    <w14:schemeClr w14:val="tx1"/>
                  </w14:solidFill>
                </w14:textFill>
              </w:rPr>
            </w:pPr>
          </w:p>
        </w:tc>
        <w:tc>
          <w:tcPr>
            <w:tcW w:w="716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3CB3052">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5</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严格执行各类论坛、讲座及大型活动的报告审批制度，活动的安全保卫工作预案和措施，必须完备和落实</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p>
        </w:tc>
        <w:tc>
          <w:tcPr>
            <w:tcW w:w="889"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2203BB3C">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1</w:t>
            </w:r>
            <w:r>
              <w:rPr>
                <w:rFonts w:ascii="华文仿宋" w:hAnsi="华文仿宋" w:eastAsia="华文仿宋" w:cs="Arial"/>
                <w:color w:val="000000" w:themeColor="text1"/>
                <w:sz w:val="30"/>
                <w:szCs w:val="30"/>
                <w:shd w:val="clear" w:color="auto" w:fill="FFFFFF"/>
                <w14:textFill>
                  <w14:solidFill>
                    <w14:schemeClr w14:val="tx1"/>
                  </w14:solidFill>
                </w14:textFill>
              </w:rPr>
              <w:t>分</w:t>
            </w:r>
          </w:p>
        </w:tc>
      </w:tr>
      <w:tr w14:paraId="0153D1ED">
        <w:tblPrEx>
          <w:tblCellMar>
            <w:top w:w="0" w:type="dxa"/>
            <w:left w:w="0" w:type="dxa"/>
            <w:bottom w:w="0" w:type="dxa"/>
            <w:right w:w="0" w:type="dxa"/>
          </w:tblCellMar>
        </w:tblPrEx>
        <w:trPr>
          <w:trHeight w:val="459" w:hRule="atLeast"/>
        </w:trPr>
        <w:tc>
          <w:tcPr>
            <w:tcW w:w="1383"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51F76D">
            <w:pPr>
              <w:widowControl/>
              <w:spacing w:line="0" w:lineRule="atLeast"/>
              <w:jc w:val="center"/>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安全防范</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与管理</w:t>
            </w:r>
            <w:r>
              <w:rPr>
                <w:rFonts w:ascii="华文仿宋" w:hAnsi="华文仿宋" w:eastAsia="华文仿宋" w:cs="Arial"/>
                <w:color w:val="000000" w:themeColor="text1"/>
                <w:sz w:val="30"/>
                <w:szCs w:val="30"/>
                <w:shd w:val="clear" w:color="auto" w:fill="FFFFFF"/>
                <w14:textFill>
                  <w14:solidFill>
                    <w14:schemeClr w14:val="tx1"/>
                  </w14:solidFill>
                </w14:textFill>
              </w:rPr>
              <w:t>（</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1</w:t>
            </w:r>
            <w:r>
              <w:rPr>
                <w:rFonts w:ascii="华文仿宋" w:hAnsi="华文仿宋" w:eastAsia="华文仿宋" w:cs="Arial"/>
                <w:color w:val="000000" w:themeColor="text1"/>
                <w:sz w:val="30"/>
                <w:szCs w:val="30"/>
                <w:shd w:val="clear" w:color="auto" w:fill="FFFFFF"/>
                <w14:textFill>
                  <w14:solidFill>
                    <w14:schemeClr w14:val="tx1"/>
                  </w14:solidFill>
                </w14:textFill>
              </w:rPr>
              <w:t>0分）</w:t>
            </w:r>
          </w:p>
        </w:tc>
        <w:tc>
          <w:tcPr>
            <w:tcW w:w="716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21777F">
            <w:pPr>
              <w:pStyle w:val="10"/>
              <w:widowControl/>
              <w:numPr>
                <w:ilvl w:val="0"/>
                <w:numId w:val="2"/>
              </w:numPr>
              <w:spacing w:line="0" w:lineRule="atLeast"/>
              <w:ind w:left="-29" w:firstLine="29" w:firstLineChars="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大学生安全教育进课堂，积极参与组织的逃生等防灾演练。</w:t>
            </w:r>
          </w:p>
          <w:p w14:paraId="6CE1723E">
            <w:pPr>
              <w:pStyle w:val="10"/>
              <w:widowControl/>
              <w:numPr>
                <w:ilvl w:val="0"/>
                <w:numId w:val="2"/>
              </w:numPr>
              <w:spacing w:line="0" w:lineRule="atLeast"/>
              <w:ind w:left="-29" w:firstLine="29" w:firstLineChars="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对</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教职员工</w:t>
            </w:r>
            <w:r>
              <w:rPr>
                <w:rFonts w:ascii="华文仿宋" w:hAnsi="华文仿宋" w:eastAsia="华文仿宋" w:cs="Arial"/>
                <w:color w:val="000000" w:themeColor="text1"/>
                <w:sz w:val="30"/>
                <w:szCs w:val="30"/>
                <w:shd w:val="clear" w:color="auto" w:fill="FFFFFF"/>
                <w14:textFill>
                  <w14:solidFill>
                    <w14:schemeClr w14:val="tx1"/>
                  </w14:solidFill>
                </w14:textFill>
              </w:rPr>
              <w:t>定期开展有针对性的安全教育和培训。</w:t>
            </w:r>
          </w:p>
          <w:p w14:paraId="61A8CAAC">
            <w:pPr>
              <w:pStyle w:val="10"/>
              <w:widowControl/>
              <w:numPr>
                <w:ilvl w:val="0"/>
                <w:numId w:val="2"/>
              </w:numPr>
              <w:spacing w:line="0" w:lineRule="atLeast"/>
              <w:ind w:firstLineChars="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特殊工种工作人员持证上岗</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p>
          <w:p w14:paraId="064BCE98">
            <w:pPr>
              <w:pStyle w:val="10"/>
              <w:widowControl/>
              <w:numPr>
                <w:ilvl w:val="0"/>
                <w:numId w:val="2"/>
              </w:numPr>
              <w:spacing w:line="0" w:lineRule="atLeast"/>
              <w:ind w:left="0" w:firstLine="0" w:firstLineChars="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大学生安全教育网络教学和标准化考试通过率达到百分之九十五以上的，每低一个百分点至万分点都扣1分。</w:t>
            </w:r>
          </w:p>
          <w:p w14:paraId="25DEC1AF">
            <w:pPr>
              <w:pStyle w:val="10"/>
              <w:widowControl/>
              <w:numPr>
                <w:ilvl w:val="0"/>
                <w:numId w:val="2"/>
              </w:numPr>
              <w:spacing w:line="0" w:lineRule="atLeast"/>
              <w:ind w:left="0" w:firstLine="0" w:firstLineChars="0"/>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大学生参加安全标准化考试学习通过率超过9</w:t>
            </w:r>
            <w:r>
              <w:rPr>
                <w:rFonts w:ascii="华文仿宋" w:hAnsi="华文仿宋" w:eastAsia="华文仿宋" w:cs="Arial"/>
                <w:bCs/>
                <w:color w:val="000000" w:themeColor="text1"/>
                <w:sz w:val="30"/>
                <w:szCs w:val="30"/>
                <w:shd w:val="clear" w:color="auto" w:fill="FFFFFF"/>
                <w14:textFill>
                  <w14:solidFill>
                    <w14:schemeClr w14:val="tx1"/>
                  </w14:solidFill>
                </w14:textFill>
              </w:rPr>
              <w:t>8</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%，每超过0.01%至1%加0.5分，考试学习通过率100%的再加1分，考试优秀率每10%的加0</w:t>
            </w:r>
            <w:r>
              <w:rPr>
                <w:rFonts w:ascii="华文仿宋" w:hAnsi="华文仿宋" w:eastAsia="华文仿宋" w:cs="Arial"/>
                <w:bCs/>
                <w:color w:val="000000" w:themeColor="text1"/>
                <w:sz w:val="30"/>
                <w:szCs w:val="30"/>
                <w:shd w:val="clear" w:color="auto" w:fill="FFFFFF"/>
                <w14:textFill>
                  <w14:solidFill>
                    <w14:schemeClr w14:val="tx1"/>
                  </w14:solidFill>
                </w14:textFill>
              </w:rPr>
              <w:t>.5</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分。</w:t>
            </w:r>
          </w:p>
        </w:tc>
        <w:tc>
          <w:tcPr>
            <w:tcW w:w="88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B41B7E9">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5分</w:t>
            </w:r>
          </w:p>
        </w:tc>
      </w:tr>
      <w:tr w14:paraId="1754BC7D">
        <w:tblPrEx>
          <w:tblCellMar>
            <w:top w:w="0" w:type="dxa"/>
            <w:left w:w="0" w:type="dxa"/>
            <w:bottom w:w="0" w:type="dxa"/>
            <w:right w:w="0" w:type="dxa"/>
          </w:tblCellMar>
        </w:tblPrEx>
        <w:trPr>
          <w:trHeight w:val="30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61F06C4">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p>
        </w:tc>
        <w:tc>
          <w:tcPr>
            <w:tcW w:w="716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8535A9">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6</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重点人员、外聘人员</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等实有人口</w:t>
            </w:r>
            <w:r>
              <w:rPr>
                <w:rFonts w:ascii="华文仿宋" w:hAnsi="华文仿宋" w:eastAsia="华文仿宋" w:cs="Arial"/>
                <w:color w:val="000000" w:themeColor="text1"/>
                <w:sz w:val="30"/>
                <w:szCs w:val="30"/>
                <w:shd w:val="clear" w:color="auto" w:fill="FFFFFF"/>
                <w14:textFill>
                  <w14:solidFill>
                    <w14:schemeClr w14:val="tx1"/>
                  </w14:solidFill>
                </w14:textFill>
              </w:rPr>
              <w:t>档案齐全，管理制度落实。</w:t>
            </w:r>
          </w:p>
        </w:tc>
        <w:tc>
          <w:tcPr>
            <w:tcW w:w="88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0E7C78">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1</w:t>
            </w:r>
            <w:r>
              <w:rPr>
                <w:rFonts w:ascii="华文仿宋" w:hAnsi="华文仿宋" w:eastAsia="华文仿宋" w:cs="Arial"/>
                <w:color w:val="000000" w:themeColor="text1"/>
                <w:sz w:val="30"/>
                <w:szCs w:val="30"/>
                <w:shd w:val="clear" w:color="auto" w:fill="FFFFFF"/>
                <w14:textFill>
                  <w14:solidFill>
                    <w14:schemeClr w14:val="tx1"/>
                  </w14:solidFill>
                </w14:textFill>
              </w:rPr>
              <w:t>分</w:t>
            </w:r>
          </w:p>
        </w:tc>
      </w:tr>
      <w:tr w14:paraId="22CB6BBE">
        <w:tblPrEx>
          <w:tblCellMar>
            <w:top w:w="0" w:type="dxa"/>
            <w:left w:w="0" w:type="dxa"/>
            <w:bottom w:w="0" w:type="dxa"/>
            <w:right w:w="0" w:type="dxa"/>
          </w:tblCellMar>
        </w:tblPrEx>
        <w:trPr>
          <w:trHeight w:val="44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25567F5">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p>
        </w:tc>
        <w:tc>
          <w:tcPr>
            <w:tcW w:w="71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6B38CD7">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7.单位重点部位要配置必要的技术防范设施</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，落实安全责任人</w:t>
            </w:r>
            <w:r>
              <w:rPr>
                <w:rFonts w:ascii="华文仿宋" w:hAnsi="华文仿宋" w:eastAsia="华文仿宋" w:cs="Arial"/>
                <w:color w:val="000000" w:themeColor="text1"/>
                <w:sz w:val="30"/>
                <w:szCs w:val="30"/>
                <w:shd w:val="clear" w:color="auto" w:fill="FFFFFF"/>
                <w14:textFill>
                  <w14:solidFill>
                    <w14:schemeClr w14:val="tx1"/>
                  </w14:solidFill>
                </w14:textFill>
              </w:rPr>
              <w:t>。</w:t>
            </w:r>
          </w:p>
        </w:tc>
        <w:tc>
          <w:tcPr>
            <w:tcW w:w="88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A0C483">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1</w:t>
            </w:r>
            <w:r>
              <w:rPr>
                <w:rFonts w:ascii="华文仿宋" w:hAnsi="华文仿宋" w:eastAsia="华文仿宋" w:cs="Arial"/>
                <w:color w:val="000000" w:themeColor="text1"/>
                <w:sz w:val="30"/>
                <w:szCs w:val="30"/>
                <w:shd w:val="clear" w:color="auto" w:fill="FFFFFF"/>
                <w14:textFill>
                  <w14:solidFill>
                    <w14:schemeClr w14:val="tx1"/>
                  </w14:solidFill>
                </w14:textFill>
              </w:rPr>
              <w:t>分</w:t>
            </w:r>
          </w:p>
        </w:tc>
      </w:tr>
      <w:tr w14:paraId="41E1F0F2">
        <w:tblPrEx>
          <w:tblCellMar>
            <w:top w:w="0" w:type="dxa"/>
            <w:left w:w="0" w:type="dxa"/>
            <w:bottom w:w="0" w:type="dxa"/>
            <w:right w:w="0" w:type="dxa"/>
          </w:tblCellMar>
        </w:tblPrEx>
        <w:trPr>
          <w:trHeight w:val="5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0DDD61">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p>
        </w:tc>
        <w:tc>
          <w:tcPr>
            <w:tcW w:w="71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EFA178">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8.网络安全、涉密文件、资料与设备的管理。</w:t>
            </w:r>
          </w:p>
        </w:tc>
        <w:tc>
          <w:tcPr>
            <w:tcW w:w="88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A788AB">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1</w:t>
            </w:r>
            <w:r>
              <w:rPr>
                <w:rFonts w:ascii="华文仿宋" w:hAnsi="华文仿宋" w:eastAsia="华文仿宋" w:cs="Arial"/>
                <w:color w:val="000000" w:themeColor="text1"/>
                <w:sz w:val="30"/>
                <w:szCs w:val="30"/>
                <w:shd w:val="clear" w:color="auto" w:fill="FFFFFF"/>
                <w14:textFill>
                  <w14:solidFill>
                    <w14:schemeClr w14:val="tx1"/>
                  </w14:solidFill>
                </w14:textFill>
              </w:rPr>
              <w:t>分</w:t>
            </w:r>
          </w:p>
        </w:tc>
      </w:tr>
      <w:tr w14:paraId="411BE5F1">
        <w:tblPrEx>
          <w:tblCellMar>
            <w:top w:w="0" w:type="dxa"/>
            <w:left w:w="0" w:type="dxa"/>
            <w:bottom w:w="0" w:type="dxa"/>
            <w:right w:w="0" w:type="dxa"/>
          </w:tblCellMar>
        </w:tblPrEx>
        <w:trPr>
          <w:trHeight w:val="45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2017531">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p>
        </w:tc>
        <w:tc>
          <w:tcPr>
            <w:tcW w:w="71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CAB485E">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9.每年安全检查不少于</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3</w:t>
            </w:r>
            <w:r>
              <w:rPr>
                <w:rFonts w:ascii="华文仿宋" w:hAnsi="华文仿宋" w:eastAsia="华文仿宋" w:cs="Arial"/>
                <w:color w:val="000000" w:themeColor="text1"/>
                <w:sz w:val="30"/>
                <w:szCs w:val="30"/>
                <w:shd w:val="clear" w:color="auto" w:fill="FFFFFF"/>
                <w14:textFill>
                  <w14:solidFill>
                    <w14:schemeClr w14:val="tx1"/>
                  </w14:solidFill>
                </w14:textFill>
              </w:rPr>
              <w:t>0次</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，其中党政一把手参加检查不少于6次，分管安全工作领导检查不少于1</w:t>
            </w:r>
            <w:r>
              <w:rPr>
                <w:rFonts w:ascii="华文仿宋" w:hAnsi="华文仿宋" w:eastAsia="华文仿宋" w:cs="Arial"/>
                <w:color w:val="000000" w:themeColor="text1"/>
                <w:sz w:val="30"/>
                <w:szCs w:val="30"/>
                <w:shd w:val="clear" w:color="auto" w:fill="FFFFFF"/>
                <w14:textFill>
                  <w14:solidFill>
                    <w14:schemeClr w14:val="tx1"/>
                  </w14:solidFill>
                </w14:textFill>
              </w:rPr>
              <w:t>2</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次，分管学生工作领导进学生宿舍检查不少于1</w:t>
            </w:r>
            <w:r>
              <w:rPr>
                <w:rFonts w:ascii="华文仿宋" w:hAnsi="华文仿宋" w:eastAsia="华文仿宋" w:cs="Arial"/>
                <w:color w:val="000000" w:themeColor="text1"/>
                <w:sz w:val="30"/>
                <w:szCs w:val="30"/>
                <w:shd w:val="clear" w:color="auto" w:fill="FFFFFF"/>
                <w14:textFill>
                  <w14:solidFill>
                    <w14:schemeClr w14:val="tx1"/>
                  </w14:solidFill>
                </w14:textFill>
              </w:rPr>
              <w:t>2</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次，相关检查均须有照片或者视频资料存档备查</w:t>
            </w:r>
            <w:r>
              <w:rPr>
                <w:rFonts w:ascii="华文仿宋" w:hAnsi="华文仿宋" w:eastAsia="华文仿宋" w:cs="Arial"/>
                <w:color w:val="000000" w:themeColor="text1"/>
                <w:sz w:val="30"/>
                <w:szCs w:val="30"/>
                <w:shd w:val="clear" w:color="auto" w:fill="FFFFFF"/>
                <w14:textFill>
                  <w14:solidFill>
                    <w14:schemeClr w14:val="tx1"/>
                  </w14:solidFill>
                </w14:textFill>
              </w:rPr>
              <w:t>。</w:t>
            </w:r>
          </w:p>
        </w:tc>
        <w:tc>
          <w:tcPr>
            <w:tcW w:w="88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F2CACAD">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2</w:t>
            </w:r>
            <w:r>
              <w:rPr>
                <w:rFonts w:ascii="华文仿宋" w:hAnsi="华文仿宋" w:eastAsia="华文仿宋" w:cs="Arial"/>
                <w:color w:val="000000" w:themeColor="text1"/>
                <w:sz w:val="30"/>
                <w:szCs w:val="30"/>
                <w:shd w:val="clear" w:color="auto" w:fill="FFFFFF"/>
                <w14:textFill>
                  <w14:solidFill>
                    <w14:schemeClr w14:val="tx1"/>
                  </w14:solidFill>
                </w14:textFill>
              </w:rPr>
              <w:t>分</w:t>
            </w:r>
          </w:p>
        </w:tc>
      </w:tr>
      <w:tr w14:paraId="531D5490">
        <w:tblPrEx>
          <w:tblCellMar>
            <w:top w:w="0" w:type="dxa"/>
            <w:left w:w="0" w:type="dxa"/>
            <w:bottom w:w="0" w:type="dxa"/>
            <w:right w:w="0" w:type="dxa"/>
          </w:tblCellMar>
        </w:tblPrEx>
        <w:trPr>
          <w:trHeight w:val="1084" w:hRule="atLeast"/>
        </w:trPr>
        <w:tc>
          <w:tcPr>
            <w:tcW w:w="1383" w:type="dxa"/>
            <w:vMerge w:val="restart"/>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5496DF37">
            <w:pPr>
              <w:widowControl/>
              <w:spacing w:line="0" w:lineRule="atLeast"/>
              <w:jc w:val="center"/>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事故、</w:t>
            </w:r>
            <w:r>
              <w:rPr>
                <w:rFonts w:ascii="华文仿宋" w:hAnsi="华文仿宋" w:eastAsia="华文仿宋" w:cs="Arial"/>
                <w:color w:val="000000" w:themeColor="text1"/>
                <w:sz w:val="30"/>
                <w:szCs w:val="30"/>
                <w:shd w:val="clear" w:color="auto" w:fill="FFFFFF"/>
                <w14:textFill>
                  <w14:solidFill>
                    <w14:schemeClr w14:val="tx1"/>
                  </w14:solidFill>
                </w14:textFill>
              </w:rPr>
              <w:t>发案</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违纪、违章、违法、隐患与整改情况（</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80</w:t>
            </w:r>
            <w:r>
              <w:rPr>
                <w:rFonts w:ascii="华文仿宋" w:hAnsi="华文仿宋" w:eastAsia="华文仿宋" w:cs="Arial"/>
                <w:color w:val="000000" w:themeColor="text1"/>
                <w:sz w:val="30"/>
                <w:szCs w:val="30"/>
                <w:shd w:val="clear" w:color="auto" w:fill="FFFFFF"/>
                <w14:textFill>
                  <w14:solidFill>
                    <w14:schemeClr w14:val="tx1"/>
                  </w14:solidFill>
                </w14:textFill>
              </w:rPr>
              <w:t>分）</w:t>
            </w:r>
          </w:p>
        </w:tc>
        <w:tc>
          <w:tcPr>
            <w:tcW w:w="7164"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CAF58A">
            <w:pPr>
              <w:widowControl/>
              <w:spacing w:line="0" w:lineRule="atLeas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1</w:t>
            </w:r>
            <w:r>
              <w:rPr>
                <w:rFonts w:ascii="华文仿宋" w:hAnsi="华文仿宋" w:eastAsia="华文仿宋" w:cs="Arial"/>
                <w:color w:val="000000" w:themeColor="text1"/>
                <w:sz w:val="30"/>
                <w:szCs w:val="30"/>
                <w:shd w:val="clear" w:color="auto" w:fill="FFFFFF"/>
                <w14:textFill>
                  <w14:solidFill>
                    <w14:schemeClr w14:val="tx1"/>
                  </w14:solidFill>
                </w14:textFill>
              </w:rPr>
              <w:t>.校内发生刑事、治安案件的，按发案率每千分之一</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（0.001‰</w:t>
            </w:r>
            <w:r>
              <w:rPr>
                <w:rFonts w:ascii="华文仿宋" w:hAnsi="华文仿宋" w:eastAsia="华文仿宋" w:cs="Arial"/>
                <w:color w:val="000000" w:themeColor="text1"/>
                <w:sz w:val="30"/>
                <w:szCs w:val="30"/>
                <w:shd w:val="clear" w:color="auto" w:fill="FFFFFF"/>
                <w14:textFill>
                  <w14:solidFill>
                    <w14:schemeClr w14:val="tx1"/>
                  </w14:solidFill>
                </w14:textFill>
              </w:rPr>
              <w:t>—</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1‰）</w:t>
            </w:r>
            <w:r>
              <w:rPr>
                <w:rFonts w:ascii="华文仿宋" w:hAnsi="华文仿宋" w:eastAsia="华文仿宋" w:cs="Arial"/>
                <w:color w:val="000000" w:themeColor="text1"/>
                <w:sz w:val="30"/>
                <w:szCs w:val="30"/>
                <w:shd w:val="clear" w:color="auto" w:fill="FFFFFF"/>
                <w14:textFill>
                  <w14:solidFill>
                    <w14:schemeClr w14:val="tx1"/>
                  </w14:solidFill>
                </w14:textFill>
              </w:rPr>
              <w:t>扣1分，其中对没有学生的单位每发生一起刑事</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或</w:t>
            </w:r>
            <w:r>
              <w:rPr>
                <w:rFonts w:ascii="华文仿宋" w:hAnsi="华文仿宋" w:eastAsia="华文仿宋" w:cs="Arial"/>
                <w:color w:val="000000" w:themeColor="text1"/>
                <w:sz w:val="30"/>
                <w:szCs w:val="30"/>
                <w:shd w:val="clear" w:color="auto" w:fill="FFFFFF"/>
                <w14:textFill>
                  <w14:solidFill>
                    <w14:schemeClr w14:val="tx1"/>
                  </w14:solidFill>
                </w14:textFill>
              </w:rPr>
              <w:t>治安案件扣1分。</w:t>
            </w:r>
          </w:p>
          <w:p w14:paraId="75769D82">
            <w:pPr>
              <w:widowControl/>
              <w:spacing w:line="0" w:lineRule="atLeas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2.发生万元以上</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非接触类侵财案件和</w:t>
            </w:r>
            <w:r>
              <w:rPr>
                <w:rFonts w:ascii="华文仿宋" w:hAnsi="华文仿宋" w:eastAsia="华文仿宋" w:cs="Arial"/>
                <w:color w:val="000000" w:themeColor="text1"/>
                <w:sz w:val="30"/>
                <w:szCs w:val="30"/>
                <w:shd w:val="clear" w:color="auto" w:fill="FFFFFF"/>
                <w14:textFill>
                  <w14:solidFill>
                    <w14:schemeClr w14:val="tx1"/>
                  </w14:solidFill>
                </w14:textFill>
              </w:rPr>
              <w:t>单位财产设备被盗案件每起扣2分</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r>
              <w:rPr>
                <w:rFonts w:ascii="华文仿宋" w:hAnsi="华文仿宋" w:eastAsia="华文仿宋" w:cs="Arial"/>
                <w:color w:val="000000" w:themeColor="text1"/>
                <w:sz w:val="30"/>
                <w:szCs w:val="30"/>
                <w:shd w:val="clear" w:color="auto" w:fill="FFFFFF"/>
                <w14:textFill>
                  <w14:solidFill>
                    <w14:schemeClr w14:val="tx1"/>
                  </w14:solidFill>
                </w14:textFill>
              </w:rPr>
              <w:t>因</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违法、违纪</w:t>
            </w:r>
            <w:r>
              <w:rPr>
                <w:rFonts w:ascii="华文仿宋" w:hAnsi="华文仿宋" w:eastAsia="华文仿宋" w:cs="Arial"/>
                <w:color w:val="000000" w:themeColor="text1"/>
                <w:sz w:val="30"/>
                <w:szCs w:val="30"/>
                <w:shd w:val="clear" w:color="auto" w:fill="FFFFFF"/>
                <w14:textFill>
                  <w14:solidFill>
                    <w14:schemeClr w14:val="tx1"/>
                  </w14:solidFill>
                </w14:textFill>
              </w:rPr>
              <w:t>受到处罚（行政拘留或记过处分以上的）的每起、每人次扣2分</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p>
          <w:p w14:paraId="48CB2CEB">
            <w:pPr>
              <w:widowControl/>
              <w:spacing w:line="0" w:lineRule="atLeas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3</w:t>
            </w:r>
            <w:r>
              <w:rPr>
                <w:rFonts w:ascii="华文仿宋" w:hAnsi="华文仿宋" w:eastAsia="华文仿宋" w:cs="Arial"/>
                <w:bCs/>
                <w:color w:val="000000" w:themeColor="text1"/>
                <w:sz w:val="30"/>
                <w:szCs w:val="30"/>
                <w:shd w:val="clear" w:color="auto" w:fill="FFFFFF"/>
                <w14:textFill>
                  <w14:solidFill>
                    <w14:schemeClr w14:val="tx1"/>
                  </w14:solidFill>
                </w14:textFill>
              </w:rPr>
              <w:t>.</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被市教委、区县公安机关及以上</w:t>
            </w:r>
            <w:r>
              <w:rPr>
                <w:rFonts w:ascii="华文仿宋" w:hAnsi="华文仿宋" w:eastAsia="华文仿宋" w:cs="Arial"/>
                <w:bCs/>
                <w:color w:val="000000" w:themeColor="text1"/>
                <w:sz w:val="30"/>
                <w:szCs w:val="30"/>
                <w:shd w:val="clear" w:color="auto" w:fill="FFFFFF"/>
                <w14:textFill>
                  <w14:solidFill>
                    <w14:schemeClr w14:val="tx1"/>
                  </w14:solidFill>
                </w14:textFill>
              </w:rPr>
              <w:t>级单位</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授予治安安全示范点、见义勇为先进个人等情形的，每起加</w:t>
            </w:r>
            <w:r>
              <w:rPr>
                <w:rFonts w:ascii="华文仿宋" w:hAnsi="华文仿宋" w:eastAsia="华文仿宋" w:cs="Arial"/>
                <w:bCs/>
                <w:color w:val="000000" w:themeColor="text1"/>
                <w:sz w:val="30"/>
                <w:szCs w:val="30"/>
                <w:shd w:val="clear" w:color="auto" w:fill="FFFFFF"/>
                <w14:textFill>
                  <w14:solidFill>
                    <w14:schemeClr w14:val="tx1"/>
                  </w14:solidFill>
                </w14:textFill>
              </w:rPr>
              <w:t>2</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分。</w:t>
            </w:r>
          </w:p>
        </w:tc>
        <w:tc>
          <w:tcPr>
            <w:tcW w:w="889" w:type="dxa"/>
            <w:tcBorders>
              <w:top w:val="single" w:color="auto" w:sz="4" w:space="0"/>
              <w:left w:val="nil"/>
              <w:bottom w:val="single" w:color="auto" w:sz="8" w:space="0"/>
              <w:right w:val="single" w:color="auto" w:sz="4" w:space="0"/>
            </w:tcBorders>
            <w:shd w:val="clear" w:color="auto" w:fill="auto"/>
            <w:noWrap/>
            <w:tcMar>
              <w:top w:w="0" w:type="dxa"/>
              <w:left w:w="108" w:type="dxa"/>
              <w:bottom w:w="0" w:type="dxa"/>
              <w:right w:w="108" w:type="dxa"/>
            </w:tcMar>
            <w:vAlign w:val="center"/>
          </w:tcPr>
          <w:p w14:paraId="25414165">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10分</w:t>
            </w:r>
          </w:p>
        </w:tc>
      </w:tr>
      <w:tr w14:paraId="6CF2D710">
        <w:tblPrEx>
          <w:tblCellMar>
            <w:top w:w="0" w:type="dxa"/>
            <w:left w:w="0" w:type="dxa"/>
            <w:bottom w:w="0" w:type="dxa"/>
            <w:right w:w="0" w:type="dxa"/>
          </w:tblCellMar>
        </w:tblPrEx>
        <w:trPr>
          <w:trHeight w:val="942" w:hRule="atLeast"/>
        </w:trPr>
        <w:tc>
          <w:tcPr>
            <w:tcW w:w="0" w:type="auto"/>
            <w:vMerge w:val="continue"/>
            <w:tcBorders>
              <w:top w:val="nil"/>
              <w:left w:val="single" w:color="auto" w:sz="4" w:space="0"/>
              <w:bottom w:val="single" w:color="auto" w:sz="4" w:space="0"/>
              <w:right w:val="single" w:color="auto" w:sz="8" w:space="0"/>
            </w:tcBorders>
            <w:vAlign w:val="center"/>
          </w:tcPr>
          <w:p w14:paraId="190B9584">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p>
        </w:tc>
        <w:tc>
          <w:tcPr>
            <w:tcW w:w="716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2DA0654">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4.在校内发生有责交通事故的每起扣1分</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，违章停车每起扣0.5分</w:t>
            </w:r>
            <w:r>
              <w:rPr>
                <w:rFonts w:ascii="华文仿宋" w:hAnsi="华文仿宋" w:eastAsia="华文仿宋" w:cs="Arial"/>
                <w:color w:val="000000" w:themeColor="text1"/>
                <w:sz w:val="30"/>
                <w:szCs w:val="30"/>
                <w:shd w:val="clear" w:color="auto" w:fill="FFFFFF"/>
                <w14:textFill>
                  <w14:solidFill>
                    <w14:schemeClr w14:val="tx1"/>
                  </w14:solidFill>
                </w14:textFill>
              </w:rPr>
              <w:t>。</w:t>
            </w:r>
          </w:p>
        </w:tc>
        <w:tc>
          <w:tcPr>
            <w:tcW w:w="889" w:type="dxa"/>
            <w:tcBorders>
              <w:top w:val="nil"/>
              <w:left w:val="nil"/>
              <w:bottom w:val="single" w:color="auto" w:sz="4" w:space="0"/>
              <w:right w:val="single" w:color="auto" w:sz="4" w:space="0"/>
            </w:tcBorders>
            <w:shd w:val="clear" w:color="auto" w:fill="auto"/>
            <w:noWrap/>
            <w:tcMar>
              <w:top w:w="0" w:type="dxa"/>
              <w:left w:w="108" w:type="dxa"/>
              <w:bottom w:w="0" w:type="dxa"/>
              <w:right w:w="108" w:type="dxa"/>
            </w:tcMar>
            <w:vAlign w:val="center"/>
          </w:tcPr>
          <w:p w14:paraId="10DEBCF1">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10分</w:t>
            </w:r>
          </w:p>
        </w:tc>
      </w:tr>
      <w:tr w14:paraId="74429C05">
        <w:tblPrEx>
          <w:tblCellMar>
            <w:top w:w="0" w:type="dxa"/>
            <w:left w:w="0" w:type="dxa"/>
            <w:bottom w:w="0" w:type="dxa"/>
            <w:right w:w="0" w:type="dxa"/>
          </w:tblCellMar>
        </w:tblPrEx>
        <w:trPr>
          <w:trHeight w:val="77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549A0A1">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p>
        </w:tc>
        <w:tc>
          <w:tcPr>
            <w:tcW w:w="716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7CF6F5">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5.收到</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校外单位</w:t>
            </w:r>
            <w:r>
              <w:rPr>
                <w:rFonts w:ascii="华文仿宋" w:hAnsi="华文仿宋" w:eastAsia="华文仿宋" w:cs="Arial"/>
                <w:color w:val="000000" w:themeColor="text1"/>
                <w:sz w:val="30"/>
                <w:szCs w:val="30"/>
                <w:shd w:val="clear" w:color="auto" w:fill="FFFFFF"/>
                <w14:textFill>
                  <w14:solidFill>
                    <w14:schemeClr w14:val="tx1"/>
                  </w14:solidFill>
                </w14:textFill>
              </w:rPr>
              <w:t>签发的</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安全检查整改通知（包括但不限于安全隐患整改单、违章通知单等）</w:t>
            </w:r>
            <w:r>
              <w:rPr>
                <w:rFonts w:ascii="华文仿宋" w:hAnsi="华文仿宋" w:eastAsia="华文仿宋" w:cs="Arial"/>
                <w:color w:val="000000" w:themeColor="text1"/>
                <w:sz w:val="30"/>
                <w:szCs w:val="30"/>
                <w:shd w:val="clear" w:color="auto" w:fill="FFFFFF"/>
                <w14:textFill>
                  <w14:solidFill>
                    <w14:schemeClr w14:val="tx1"/>
                  </w14:solidFill>
                </w14:textFill>
              </w:rPr>
              <w:t>，每起扣2分</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p>
          <w:p w14:paraId="0DF10CEC">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6.收到</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校内单位</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签发</w:t>
            </w:r>
            <w:r>
              <w:rPr>
                <w:rFonts w:ascii="华文仿宋" w:hAnsi="华文仿宋" w:eastAsia="华文仿宋" w:cs="Arial"/>
                <w:color w:val="000000" w:themeColor="text1"/>
                <w:sz w:val="30"/>
                <w:szCs w:val="30"/>
                <w:shd w:val="clear" w:color="auto" w:fill="FFFFFF"/>
                <w14:textFill>
                  <w14:solidFill>
                    <w14:schemeClr w14:val="tx1"/>
                  </w14:solidFill>
                </w14:textFill>
              </w:rPr>
              <w:t>的</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安全检查整改通知（包括但不限于安全隐患整改单、违章通知单等）</w:t>
            </w:r>
            <w:r>
              <w:rPr>
                <w:rFonts w:ascii="华文仿宋" w:hAnsi="华文仿宋" w:eastAsia="华文仿宋" w:cs="Arial"/>
                <w:color w:val="000000" w:themeColor="text1"/>
                <w:sz w:val="30"/>
                <w:szCs w:val="30"/>
                <w:shd w:val="clear" w:color="auto" w:fill="FFFFFF"/>
                <w14:textFill>
                  <w14:solidFill>
                    <w14:schemeClr w14:val="tx1"/>
                  </w14:solidFill>
                </w14:textFill>
              </w:rPr>
              <w:t>每起扣0.5分</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w:t>
            </w:r>
          </w:p>
          <w:p w14:paraId="43F0C340">
            <w:pPr>
              <w:widowControl/>
              <w:spacing w:line="0" w:lineRule="atLeast"/>
              <w:jc w:val="left"/>
              <w:rPr>
                <w:rFonts w:ascii="华文仿宋" w:hAnsi="华文仿宋" w:eastAsia="华文仿宋" w:cs="Arial"/>
                <w:bCs/>
                <w:color w:val="000000" w:themeColor="text1"/>
                <w:sz w:val="30"/>
                <w:szCs w:val="30"/>
                <w:shd w:val="clear" w:color="auto" w:fill="FFFFFF"/>
                <w14:textFill>
                  <w14:solidFill>
                    <w14:schemeClr w14:val="tx1"/>
                  </w14:solidFill>
                </w14:textFill>
              </w:rPr>
            </w:pPr>
            <w:r>
              <w:rPr>
                <w:rFonts w:ascii="华文仿宋" w:hAnsi="华文仿宋" w:eastAsia="华文仿宋" w:cs="Arial"/>
                <w:color w:val="000000" w:themeColor="text1"/>
                <w:sz w:val="30"/>
                <w:szCs w:val="30"/>
                <w:shd w:val="clear" w:color="auto" w:fill="FFFFFF"/>
                <w14:textFill>
                  <w14:solidFill>
                    <w14:schemeClr w14:val="tx1"/>
                  </w14:solidFill>
                </w14:textFill>
              </w:rPr>
              <w:t>7.</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学生宿舍查获一</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般违章电器</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等情形的每起扣0.5分，</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查获热得快、取暖器、电热毯等较大安全隐患的每起扣2分，查获电动车蓄电池等严重安全隐患的每起扣10分。</w:t>
            </w:r>
          </w:p>
          <w:p w14:paraId="5C558AB7">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ascii="华文仿宋" w:hAnsi="华文仿宋" w:eastAsia="华文仿宋" w:cs="Arial"/>
                <w:bCs/>
                <w:color w:val="000000" w:themeColor="text1"/>
                <w:sz w:val="30"/>
                <w:szCs w:val="30"/>
                <w:shd w:val="clear" w:color="auto" w:fill="FFFFFF"/>
                <w14:textFill>
                  <w14:solidFill>
                    <w14:schemeClr w14:val="tx1"/>
                  </w14:solidFill>
                </w14:textFill>
              </w:rPr>
              <w:t>8.</w:t>
            </w:r>
            <w:r>
              <w:rPr>
                <w:rFonts w:ascii="华文仿宋" w:hAnsi="华文仿宋" w:eastAsia="华文仿宋" w:cs="Arial"/>
                <w:color w:val="000000" w:themeColor="text1"/>
                <w:sz w:val="30"/>
                <w:szCs w:val="30"/>
                <w:shd w:val="clear" w:color="auto" w:fill="FFFFFF"/>
                <w14:textFill>
                  <w14:solidFill>
                    <w14:schemeClr w14:val="tx1"/>
                  </w14:solidFill>
                </w14:textFill>
              </w:rPr>
              <w:t>收到</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校外单位</w:t>
            </w:r>
            <w:r>
              <w:rPr>
                <w:rFonts w:ascii="华文仿宋" w:hAnsi="华文仿宋" w:eastAsia="华文仿宋" w:cs="Arial"/>
                <w:color w:val="000000" w:themeColor="text1"/>
                <w:sz w:val="30"/>
                <w:szCs w:val="30"/>
                <w:shd w:val="clear" w:color="auto" w:fill="FFFFFF"/>
                <w14:textFill>
                  <w14:solidFill>
                    <w14:schemeClr w14:val="tx1"/>
                  </w14:solidFill>
                </w14:textFill>
              </w:rPr>
              <w:t>或者</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校内单位</w:t>
            </w:r>
            <w:r>
              <w:rPr>
                <w:rFonts w:ascii="华文仿宋" w:hAnsi="华文仿宋" w:eastAsia="华文仿宋" w:cs="Arial"/>
                <w:color w:val="000000" w:themeColor="text1"/>
                <w:sz w:val="30"/>
                <w:szCs w:val="30"/>
                <w:shd w:val="clear" w:color="auto" w:fill="FFFFFF"/>
                <w14:textFill>
                  <w14:solidFill>
                    <w14:schemeClr w14:val="tx1"/>
                  </w14:solidFill>
                </w14:textFill>
              </w:rPr>
              <w:t>签发的</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安全检查整改通知（包括但不限于安全隐患整改单、违章通知单等）</w:t>
            </w:r>
            <w:r>
              <w:rPr>
                <w:rFonts w:ascii="华文仿宋" w:hAnsi="华文仿宋" w:eastAsia="华文仿宋" w:cs="Arial"/>
                <w:color w:val="000000" w:themeColor="text1"/>
                <w:sz w:val="30"/>
                <w:szCs w:val="30"/>
                <w:shd w:val="clear" w:color="auto" w:fill="FFFFFF"/>
                <w14:textFill>
                  <w14:solidFill>
                    <w14:schemeClr w14:val="tx1"/>
                  </w14:solidFill>
                </w14:textFill>
              </w:rPr>
              <w:t>，未按规定整改的，每次扣2分。</w:t>
            </w:r>
          </w:p>
          <w:p w14:paraId="4366DA3C">
            <w:pPr>
              <w:widowControl/>
              <w:spacing w:line="0" w:lineRule="atLeast"/>
              <w:jc w:val="left"/>
              <w:rPr>
                <w:rFonts w:ascii="华文仿宋" w:hAnsi="华文仿宋" w:eastAsia="华文仿宋" w:cs="Arial"/>
                <w:bCs/>
                <w:color w:val="000000" w:themeColor="text1"/>
                <w:sz w:val="30"/>
                <w:szCs w:val="30"/>
                <w:shd w:val="clear" w:color="auto" w:fill="FFFFFF"/>
                <w14:textFill>
                  <w14:solidFill>
                    <w14:schemeClr w14:val="tx1"/>
                  </w14:solidFill>
                </w14:textFill>
              </w:rPr>
            </w:pPr>
            <w:r>
              <w:rPr>
                <w:rFonts w:ascii="华文仿宋" w:hAnsi="华文仿宋" w:eastAsia="华文仿宋" w:cs="Arial"/>
                <w:bCs/>
                <w:color w:val="000000" w:themeColor="text1"/>
                <w:sz w:val="30"/>
                <w:szCs w:val="30"/>
                <w:shd w:val="clear" w:color="auto" w:fill="FFFFFF"/>
                <w14:textFill>
                  <w14:solidFill>
                    <w14:schemeClr w14:val="tx1"/>
                  </w14:solidFill>
                </w14:textFill>
              </w:rPr>
              <w:t>9.</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 xml:space="preserve"> 发生除一票否决指标外的食物中毒、轻伤（包括但不限于交通事故、意外事故等）、校内非正常死亡事故等</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其他安全隐患或者事故，每起扣2分。</w:t>
            </w:r>
          </w:p>
          <w:p w14:paraId="473390B1">
            <w:pPr>
              <w:widowControl/>
              <w:spacing w:line="0" w:lineRule="atLeast"/>
              <w:jc w:val="left"/>
              <w:rPr>
                <w:rFonts w:ascii="华文仿宋" w:hAnsi="华文仿宋" w:eastAsia="华文仿宋" w:cs="Arial"/>
                <w:bCs/>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1</w:t>
            </w:r>
            <w:r>
              <w:rPr>
                <w:rFonts w:ascii="华文仿宋" w:hAnsi="华文仿宋" w:eastAsia="华文仿宋" w:cs="Arial"/>
                <w:bCs/>
                <w:color w:val="000000" w:themeColor="text1"/>
                <w:sz w:val="30"/>
                <w:szCs w:val="30"/>
                <w:shd w:val="clear" w:color="auto" w:fill="FFFFFF"/>
                <w14:textFill>
                  <w14:solidFill>
                    <w14:schemeClr w14:val="tx1"/>
                  </w14:solidFill>
                </w14:textFill>
              </w:rPr>
              <w:t>0.接受</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市教委及以上</w:t>
            </w:r>
            <w:r>
              <w:rPr>
                <w:rFonts w:ascii="华文仿宋" w:hAnsi="华文仿宋" w:eastAsia="华文仿宋" w:cs="Arial"/>
                <w:bCs/>
                <w:color w:val="000000" w:themeColor="text1"/>
                <w:sz w:val="30"/>
                <w:szCs w:val="30"/>
                <w:shd w:val="clear" w:color="auto" w:fill="FFFFFF"/>
                <w14:textFill>
                  <w14:solidFill>
                    <w14:schemeClr w14:val="tx1"/>
                  </w14:solidFill>
                </w14:textFill>
              </w:rPr>
              <w:t>级单位来校安全检查的单位</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，在检查中未发现隐患或者提出整改的，每次加</w:t>
            </w:r>
            <w:r>
              <w:rPr>
                <w:rFonts w:ascii="华文仿宋" w:hAnsi="华文仿宋" w:eastAsia="华文仿宋" w:cs="Arial"/>
                <w:bCs/>
                <w:color w:val="000000" w:themeColor="text1"/>
                <w:sz w:val="30"/>
                <w:szCs w:val="30"/>
                <w:shd w:val="clear" w:color="auto" w:fill="FFFFFF"/>
                <w14:textFill>
                  <w14:solidFill>
                    <w14:schemeClr w14:val="tx1"/>
                  </w14:solidFill>
                </w14:textFill>
              </w:rPr>
              <w:t>2</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分。</w:t>
            </w:r>
          </w:p>
          <w:p w14:paraId="0F685E03">
            <w:pPr>
              <w:widowControl/>
              <w:spacing w:line="0" w:lineRule="atLeast"/>
              <w:jc w:val="left"/>
              <w:rPr>
                <w:rFonts w:ascii="华文仿宋" w:hAnsi="华文仿宋" w:eastAsia="华文仿宋" w:cs="Arial"/>
                <w:bCs/>
                <w:color w:val="000000" w:themeColor="text1"/>
                <w:sz w:val="30"/>
                <w:szCs w:val="30"/>
                <w:shd w:val="clear" w:color="auto" w:fill="FFFFFF"/>
                <w14:textFill>
                  <w14:solidFill>
                    <w14:schemeClr w14:val="tx1"/>
                  </w14:solidFill>
                </w14:textFill>
              </w:rPr>
            </w:pPr>
            <w:r>
              <w:rPr>
                <w:rFonts w:ascii="华文仿宋" w:hAnsi="华文仿宋" w:eastAsia="华文仿宋" w:cs="Arial"/>
                <w:bCs/>
                <w:color w:val="000000" w:themeColor="text1"/>
                <w:sz w:val="30"/>
                <w:szCs w:val="30"/>
                <w:shd w:val="clear" w:color="auto" w:fill="FFFFFF"/>
                <w14:textFill>
                  <w14:solidFill>
                    <w14:schemeClr w14:val="tx1"/>
                  </w14:solidFill>
                </w14:textFill>
              </w:rPr>
              <w:t>11.</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被市教委及以上</w:t>
            </w:r>
            <w:r>
              <w:rPr>
                <w:rFonts w:ascii="华文仿宋" w:hAnsi="华文仿宋" w:eastAsia="华文仿宋" w:cs="Arial"/>
                <w:bCs/>
                <w:color w:val="000000" w:themeColor="text1"/>
                <w:sz w:val="30"/>
                <w:szCs w:val="30"/>
                <w:shd w:val="clear" w:color="auto" w:fill="FFFFFF"/>
                <w14:textFill>
                  <w14:solidFill>
                    <w14:schemeClr w14:val="tx1"/>
                  </w14:solidFill>
                </w14:textFill>
              </w:rPr>
              <w:t>级单位</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评为安全生产先进单位、先进个人的，每起加2分。</w:t>
            </w:r>
          </w:p>
          <w:p w14:paraId="74EC61DA">
            <w:pPr>
              <w:widowControl/>
              <w:spacing w:line="0" w:lineRule="atLeast"/>
              <w:jc w:val="left"/>
              <w:rPr>
                <w:rFonts w:ascii="华文仿宋" w:hAnsi="华文仿宋" w:eastAsia="华文仿宋" w:cs="Arial"/>
                <w:bCs/>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1</w:t>
            </w:r>
            <w:r>
              <w:rPr>
                <w:rFonts w:ascii="华文仿宋" w:hAnsi="华文仿宋" w:eastAsia="华文仿宋" w:cs="Arial"/>
                <w:bCs/>
                <w:color w:val="000000" w:themeColor="text1"/>
                <w:sz w:val="30"/>
                <w:szCs w:val="30"/>
                <w:shd w:val="clear" w:color="auto" w:fill="FFFFFF"/>
                <w14:textFill>
                  <w14:solidFill>
                    <w14:schemeClr w14:val="tx1"/>
                  </w14:solidFill>
                </w14:textFill>
              </w:rPr>
              <w:t>2.</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 xml:space="preserve"> 团队参加市教委以上组织安全方面竞赛等比赛加1分，获得三等奖的加</w:t>
            </w:r>
            <w:r>
              <w:rPr>
                <w:rFonts w:ascii="华文仿宋" w:hAnsi="华文仿宋" w:eastAsia="华文仿宋" w:cs="Arial"/>
                <w:bCs/>
                <w:color w:val="000000" w:themeColor="text1"/>
                <w:sz w:val="30"/>
                <w:szCs w:val="30"/>
                <w:shd w:val="clear" w:color="auto" w:fill="FFFFFF"/>
                <w14:textFill>
                  <w14:solidFill>
                    <w14:schemeClr w14:val="tx1"/>
                  </w14:solidFill>
                </w14:textFill>
              </w:rPr>
              <w:t>2</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分，二等奖的加</w:t>
            </w:r>
            <w:r>
              <w:rPr>
                <w:rFonts w:ascii="华文仿宋" w:hAnsi="华文仿宋" w:eastAsia="华文仿宋" w:cs="Arial"/>
                <w:bCs/>
                <w:color w:val="000000" w:themeColor="text1"/>
                <w:sz w:val="30"/>
                <w:szCs w:val="30"/>
                <w:shd w:val="clear" w:color="auto" w:fill="FFFFFF"/>
                <w14:textFill>
                  <w14:solidFill>
                    <w14:schemeClr w14:val="tx1"/>
                  </w14:solidFill>
                </w14:textFill>
              </w:rPr>
              <w:t>4</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分，一等奖的加</w:t>
            </w:r>
            <w:r>
              <w:rPr>
                <w:rFonts w:ascii="华文仿宋" w:hAnsi="华文仿宋" w:eastAsia="华文仿宋" w:cs="Arial"/>
                <w:bCs/>
                <w:color w:val="000000" w:themeColor="text1"/>
                <w:sz w:val="30"/>
                <w:szCs w:val="30"/>
                <w:shd w:val="clear" w:color="auto" w:fill="FFFFFF"/>
                <w14:textFill>
                  <w14:solidFill>
                    <w14:schemeClr w14:val="tx1"/>
                  </w14:solidFill>
                </w14:textFill>
              </w:rPr>
              <w:t>6</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分，个人获得三等奖的加1分，二等奖的加</w:t>
            </w:r>
            <w:r>
              <w:rPr>
                <w:rFonts w:ascii="华文仿宋" w:hAnsi="华文仿宋" w:eastAsia="华文仿宋" w:cs="Arial"/>
                <w:bCs/>
                <w:color w:val="000000" w:themeColor="text1"/>
                <w:sz w:val="30"/>
                <w:szCs w:val="30"/>
                <w:shd w:val="clear" w:color="auto" w:fill="FFFFFF"/>
                <w14:textFill>
                  <w14:solidFill>
                    <w14:schemeClr w14:val="tx1"/>
                  </w14:solidFill>
                </w14:textFill>
              </w:rPr>
              <w:t>2</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分，一等奖的加</w:t>
            </w:r>
            <w:r>
              <w:rPr>
                <w:rFonts w:ascii="华文仿宋" w:hAnsi="华文仿宋" w:eastAsia="华文仿宋" w:cs="Arial"/>
                <w:bCs/>
                <w:color w:val="000000" w:themeColor="text1"/>
                <w:sz w:val="30"/>
                <w:szCs w:val="30"/>
                <w:shd w:val="clear" w:color="auto" w:fill="FFFFFF"/>
                <w14:textFill>
                  <w14:solidFill>
                    <w14:schemeClr w14:val="tx1"/>
                  </w14:solidFill>
                </w14:textFill>
              </w:rPr>
              <w:t>3</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分。</w:t>
            </w:r>
          </w:p>
          <w:p w14:paraId="1642D31A">
            <w:pPr>
              <w:widowControl/>
              <w:spacing w:line="0" w:lineRule="atLeast"/>
              <w:jc w:val="left"/>
              <w:rPr>
                <w:rFonts w:ascii="华文仿宋" w:hAnsi="华文仿宋" w:eastAsia="华文仿宋" w:cs="Arial"/>
                <w:bCs/>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1</w:t>
            </w:r>
            <w:r>
              <w:rPr>
                <w:rFonts w:ascii="华文仿宋" w:hAnsi="华文仿宋" w:eastAsia="华文仿宋" w:cs="Arial"/>
                <w:color w:val="000000" w:themeColor="text1"/>
                <w:sz w:val="30"/>
                <w:szCs w:val="30"/>
                <w:shd w:val="clear" w:color="auto" w:fill="FFFFFF"/>
                <w14:textFill>
                  <w14:solidFill>
                    <w14:schemeClr w14:val="tx1"/>
                  </w14:solidFill>
                </w14:textFill>
              </w:rPr>
              <w:t>3.</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 xml:space="preserve"> 单位自行组织占本单位师生员工数50%以上或者100人以上参加的有关安全生产方面竞赛、演练等特色活动每起加</w:t>
            </w:r>
            <w:r>
              <w:rPr>
                <w:rFonts w:ascii="华文仿宋" w:hAnsi="华文仿宋" w:eastAsia="华文仿宋" w:cs="Arial"/>
                <w:bCs/>
                <w:color w:val="000000" w:themeColor="text1"/>
                <w:sz w:val="30"/>
                <w:szCs w:val="30"/>
                <w:shd w:val="clear" w:color="auto" w:fill="FFFFFF"/>
                <w14:textFill>
                  <w14:solidFill>
                    <w14:schemeClr w14:val="tx1"/>
                  </w14:solidFill>
                </w14:textFill>
              </w:rPr>
              <w:t>2</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分，本项累计加分最高不超过4分。</w:t>
            </w:r>
          </w:p>
          <w:p w14:paraId="5B38212E">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1</w:t>
            </w:r>
            <w:r>
              <w:rPr>
                <w:rFonts w:ascii="华文仿宋" w:hAnsi="华文仿宋" w:eastAsia="华文仿宋" w:cs="Arial"/>
                <w:bCs/>
                <w:color w:val="000000" w:themeColor="text1"/>
                <w:sz w:val="30"/>
                <w:szCs w:val="30"/>
                <w:shd w:val="clear" w:color="auto" w:fill="FFFFFF"/>
                <w14:textFill>
                  <w14:solidFill>
                    <w14:schemeClr w14:val="tx1"/>
                  </w14:solidFill>
                </w14:textFill>
              </w:rPr>
              <w:t>4.</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第1</w:t>
            </w:r>
            <w:r>
              <w:rPr>
                <w:rFonts w:ascii="华文仿宋" w:hAnsi="华文仿宋" w:eastAsia="华文仿宋" w:cs="Arial"/>
                <w:bCs/>
                <w:color w:val="000000" w:themeColor="text1"/>
                <w:sz w:val="30"/>
                <w:szCs w:val="30"/>
                <w:shd w:val="clear" w:color="auto" w:fill="FFFFFF"/>
                <w14:textFill>
                  <w14:solidFill>
                    <w14:schemeClr w14:val="tx1"/>
                  </w14:solidFill>
                </w14:textFill>
              </w:rPr>
              <w:t>0</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、1</w:t>
            </w:r>
            <w:r>
              <w:rPr>
                <w:rFonts w:ascii="华文仿宋" w:hAnsi="华文仿宋" w:eastAsia="华文仿宋" w:cs="Arial"/>
                <w:bCs/>
                <w:color w:val="000000" w:themeColor="text1"/>
                <w:sz w:val="30"/>
                <w:szCs w:val="30"/>
                <w:shd w:val="clear" w:color="auto" w:fill="FFFFFF"/>
                <w14:textFill>
                  <w14:solidFill>
                    <w14:schemeClr w14:val="tx1"/>
                  </w14:solidFill>
                </w14:textFill>
              </w:rPr>
              <w:t>1</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、1</w:t>
            </w:r>
            <w:r>
              <w:rPr>
                <w:rFonts w:ascii="华文仿宋" w:hAnsi="华文仿宋" w:eastAsia="华文仿宋" w:cs="Arial"/>
                <w:bCs/>
                <w:color w:val="000000" w:themeColor="text1"/>
                <w:sz w:val="30"/>
                <w:szCs w:val="30"/>
                <w:shd w:val="clear" w:color="auto" w:fill="FFFFFF"/>
                <w14:textFill>
                  <w14:solidFill>
                    <w14:schemeClr w14:val="tx1"/>
                  </w14:solidFill>
                </w14:textFill>
              </w:rPr>
              <w:t>2</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、1</w:t>
            </w:r>
            <w:r>
              <w:rPr>
                <w:rFonts w:ascii="华文仿宋" w:hAnsi="华文仿宋" w:eastAsia="华文仿宋" w:cs="Arial"/>
                <w:bCs/>
                <w:color w:val="000000" w:themeColor="text1"/>
                <w:sz w:val="30"/>
                <w:szCs w:val="30"/>
                <w:shd w:val="clear" w:color="auto" w:fill="FFFFFF"/>
                <w14:textFill>
                  <w14:solidFill>
                    <w14:schemeClr w14:val="tx1"/>
                  </w14:solidFill>
                </w14:textFill>
              </w:rPr>
              <w:t>3</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项累计加分最高不超过1</w:t>
            </w:r>
            <w:r>
              <w:rPr>
                <w:rFonts w:ascii="华文仿宋" w:hAnsi="华文仿宋" w:eastAsia="华文仿宋" w:cs="Arial"/>
                <w:bCs/>
                <w:color w:val="000000" w:themeColor="text1"/>
                <w:sz w:val="30"/>
                <w:szCs w:val="30"/>
                <w:shd w:val="clear" w:color="auto" w:fill="FFFFFF"/>
                <w14:textFill>
                  <w14:solidFill>
                    <w14:schemeClr w14:val="tx1"/>
                  </w14:solidFill>
                </w14:textFill>
              </w:rPr>
              <w:t>0</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分。</w:t>
            </w:r>
          </w:p>
        </w:tc>
        <w:tc>
          <w:tcPr>
            <w:tcW w:w="88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CEECE3">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3</w:t>
            </w:r>
            <w:r>
              <w:rPr>
                <w:rFonts w:ascii="华文仿宋" w:hAnsi="华文仿宋" w:eastAsia="华文仿宋" w:cs="Arial"/>
                <w:color w:val="000000" w:themeColor="text1"/>
                <w:sz w:val="30"/>
                <w:szCs w:val="30"/>
                <w:shd w:val="clear" w:color="auto" w:fill="FFFFFF"/>
                <w14:textFill>
                  <w14:solidFill>
                    <w14:schemeClr w14:val="tx1"/>
                  </w14:solidFill>
                </w14:textFill>
              </w:rPr>
              <w:t>0</w:t>
            </w:r>
            <w:r>
              <w:rPr>
                <w:rFonts w:hint="eastAsia" w:ascii="华文仿宋" w:hAnsi="华文仿宋" w:eastAsia="华文仿宋" w:cs="Arial"/>
                <w:color w:val="000000" w:themeColor="text1"/>
                <w:sz w:val="30"/>
                <w:szCs w:val="30"/>
                <w:shd w:val="clear" w:color="auto" w:fill="FFFFFF"/>
                <w14:textFill>
                  <w14:solidFill>
                    <w14:schemeClr w14:val="tx1"/>
                  </w14:solidFill>
                </w14:textFill>
              </w:rPr>
              <w:t>分</w:t>
            </w:r>
          </w:p>
        </w:tc>
      </w:tr>
      <w:tr w14:paraId="186602B7">
        <w:tblPrEx>
          <w:tblCellMar>
            <w:top w:w="0" w:type="dxa"/>
            <w:left w:w="0" w:type="dxa"/>
            <w:bottom w:w="0" w:type="dxa"/>
            <w:right w:w="0" w:type="dxa"/>
          </w:tblCellMar>
        </w:tblPrEx>
        <w:trPr>
          <w:trHeight w:val="775" w:hRule="atLeast"/>
        </w:trPr>
        <w:tc>
          <w:tcPr>
            <w:tcW w:w="0" w:type="auto"/>
            <w:vMerge w:val="continue"/>
            <w:tcBorders>
              <w:top w:val="single" w:color="auto" w:sz="4" w:space="0"/>
              <w:left w:val="single" w:color="auto" w:sz="4" w:space="0"/>
              <w:bottom w:val="single" w:color="auto" w:sz="8" w:space="0"/>
              <w:right w:val="single" w:color="auto" w:sz="8" w:space="0"/>
            </w:tcBorders>
            <w:vAlign w:val="center"/>
          </w:tcPr>
          <w:p w14:paraId="011C4852">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p>
        </w:tc>
        <w:tc>
          <w:tcPr>
            <w:tcW w:w="7164"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57A223">
            <w:pPr>
              <w:widowControl/>
              <w:spacing w:line="0" w:lineRule="atLeast"/>
              <w:jc w:val="left"/>
              <w:rPr>
                <w:rFonts w:ascii="华文仿宋" w:hAnsi="华文仿宋" w:eastAsia="华文仿宋" w:cs="Arial"/>
                <w:bCs/>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1</w:t>
            </w:r>
            <w:r>
              <w:rPr>
                <w:rFonts w:ascii="华文仿宋" w:hAnsi="华文仿宋" w:eastAsia="华文仿宋" w:cs="Arial"/>
                <w:bCs/>
                <w:color w:val="000000" w:themeColor="text1"/>
                <w:sz w:val="30"/>
                <w:szCs w:val="30"/>
                <w:shd w:val="clear" w:color="auto" w:fill="FFFFFF"/>
                <w14:textFill>
                  <w14:solidFill>
                    <w14:schemeClr w14:val="tx1"/>
                  </w14:solidFill>
                </w14:textFill>
              </w:rPr>
              <w:t>5.</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发生一票否决指标事件的，扣3</w:t>
            </w:r>
            <w:r>
              <w:rPr>
                <w:rFonts w:ascii="华文仿宋" w:hAnsi="华文仿宋" w:eastAsia="华文仿宋" w:cs="Arial"/>
                <w:bCs/>
                <w:color w:val="000000" w:themeColor="text1"/>
                <w:sz w:val="30"/>
                <w:szCs w:val="30"/>
                <w:shd w:val="clear" w:color="auto" w:fill="FFFFFF"/>
                <w14:textFill>
                  <w14:solidFill>
                    <w14:schemeClr w14:val="tx1"/>
                  </w14:solidFill>
                </w14:textFill>
              </w:rPr>
              <w:t>0</w:t>
            </w:r>
            <w:r>
              <w:rPr>
                <w:rFonts w:hint="eastAsia" w:ascii="华文仿宋" w:hAnsi="华文仿宋" w:eastAsia="华文仿宋" w:cs="Arial"/>
                <w:bCs/>
                <w:color w:val="000000" w:themeColor="text1"/>
                <w:sz w:val="30"/>
                <w:szCs w:val="30"/>
                <w:shd w:val="clear" w:color="auto" w:fill="FFFFFF"/>
                <w14:textFill>
                  <w14:solidFill>
                    <w14:schemeClr w14:val="tx1"/>
                  </w14:solidFill>
                </w14:textFill>
              </w:rPr>
              <w:t>分。</w:t>
            </w:r>
          </w:p>
        </w:tc>
        <w:tc>
          <w:tcPr>
            <w:tcW w:w="889" w:type="dxa"/>
            <w:tcBorders>
              <w:top w:val="single" w:color="auto" w:sz="4" w:space="0"/>
              <w:left w:val="nil"/>
              <w:bottom w:val="single" w:color="auto" w:sz="8" w:space="0"/>
              <w:right w:val="single" w:color="auto" w:sz="4" w:space="0"/>
            </w:tcBorders>
            <w:shd w:val="clear" w:color="auto" w:fill="auto"/>
            <w:noWrap/>
            <w:tcMar>
              <w:top w:w="0" w:type="dxa"/>
              <w:left w:w="108" w:type="dxa"/>
              <w:bottom w:w="0" w:type="dxa"/>
              <w:right w:w="108" w:type="dxa"/>
            </w:tcMar>
            <w:vAlign w:val="center"/>
          </w:tcPr>
          <w:p w14:paraId="7FF93E9B">
            <w:pPr>
              <w:widowControl/>
              <w:spacing w:line="0" w:lineRule="atLeast"/>
              <w:jc w:val="left"/>
              <w:rPr>
                <w:rFonts w:ascii="华文仿宋" w:hAnsi="华文仿宋" w:eastAsia="华文仿宋" w:cs="Arial"/>
                <w:color w:val="000000" w:themeColor="text1"/>
                <w:sz w:val="30"/>
                <w:szCs w:val="30"/>
                <w:shd w:val="clear" w:color="auto" w:fill="FFFFFF"/>
                <w14:textFill>
                  <w14:solidFill>
                    <w14:schemeClr w14:val="tx1"/>
                  </w14:solidFill>
                </w14:textFill>
              </w:rPr>
            </w:pPr>
            <w:r>
              <w:rPr>
                <w:rFonts w:hint="eastAsia" w:ascii="华文仿宋" w:hAnsi="华文仿宋" w:eastAsia="华文仿宋" w:cs="Arial"/>
                <w:color w:val="000000" w:themeColor="text1"/>
                <w:sz w:val="30"/>
                <w:szCs w:val="30"/>
                <w:shd w:val="clear" w:color="auto" w:fill="FFFFFF"/>
                <w14:textFill>
                  <w14:solidFill>
                    <w14:schemeClr w14:val="tx1"/>
                  </w14:solidFill>
                </w14:textFill>
              </w:rPr>
              <w:t>3</w:t>
            </w:r>
            <w:r>
              <w:rPr>
                <w:rFonts w:ascii="华文仿宋" w:hAnsi="华文仿宋" w:eastAsia="华文仿宋" w:cs="Arial"/>
                <w:color w:val="000000" w:themeColor="text1"/>
                <w:sz w:val="30"/>
                <w:szCs w:val="30"/>
                <w:shd w:val="clear" w:color="auto" w:fill="FFFFFF"/>
                <w14:textFill>
                  <w14:solidFill>
                    <w14:schemeClr w14:val="tx1"/>
                  </w14:solidFill>
                </w14:textFill>
              </w:rPr>
              <w:t>0分</w:t>
            </w:r>
          </w:p>
        </w:tc>
      </w:tr>
    </w:tbl>
    <w:p w14:paraId="292BEC52">
      <w:pPr>
        <w:widowControl/>
        <w:spacing w:line="360" w:lineRule="auto"/>
        <w:ind w:firstLine="1201" w:firstLineChars="400"/>
        <w:jc w:val="right"/>
        <w:rPr>
          <w:rFonts w:ascii="华文仿宋" w:hAnsi="华文仿宋" w:eastAsia="华文仿宋" w:cs="Arial"/>
          <w:b/>
          <w:color w:val="000000" w:themeColor="text1"/>
          <w:sz w:val="30"/>
          <w:szCs w:val="30"/>
          <w:shd w:val="clear" w:color="auto" w:fill="FFFFFF"/>
          <w14:textFill>
            <w14:solidFill>
              <w14:schemeClr w14:val="tx1"/>
            </w14:solidFill>
          </w14:textFill>
        </w:rPr>
      </w:pPr>
    </w:p>
    <w:p w14:paraId="289520FD">
      <w:pPr>
        <w:widowControl/>
        <w:spacing w:line="360" w:lineRule="auto"/>
        <w:jc w:val="both"/>
        <w:rPr>
          <w:rFonts w:hint="eastAsia" w:ascii="华文仿宋" w:hAnsi="华文仿宋" w:eastAsia="华文仿宋" w:cs="Arial"/>
          <w:b/>
          <w:color w:val="000000" w:themeColor="text1"/>
          <w:sz w:val="30"/>
          <w:szCs w:val="30"/>
          <w:shd w:val="clear" w:color="auto" w:fill="FFFFFF"/>
          <w:lang w:val="en-US" w:eastAsia="zh-CN"/>
          <w14:textFill>
            <w14:solidFill>
              <w14:schemeClr w14:val="tx1"/>
            </w14:solidFill>
          </w14:textFill>
        </w:rPr>
      </w:pPr>
    </w:p>
    <w:p w14:paraId="7CF4FF42">
      <w:pPr>
        <w:widowControl/>
        <w:spacing w:line="360" w:lineRule="auto"/>
        <w:jc w:val="both"/>
        <w:rPr>
          <w:rFonts w:hint="eastAsia" w:ascii="华文仿宋" w:hAnsi="华文仿宋" w:eastAsia="华文仿宋" w:cs="Arial"/>
          <w:b/>
          <w:color w:val="000000" w:themeColor="text1"/>
          <w:sz w:val="30"/>
          <w:szCs w:val="30"/>
          <w:shd w:val="clear" w:color="auto" w:fill="FFFFFF"/>
          <w:lang w:val="en-US" w:eastAsia="zh-CN"/>
          <w14:textFill>
            <w14:solidFill>
              <w14:schemeClr w14:val="tx1"/>
            </w14:solidFill>
          </w14:textFill>
        </w:rPr>
      </w:pPr>
    </w:p>
    <w:p w14:paraId="1F3B75DF">
      <w:pPr>
        <w:widowControl/>
        <w:spacing w:line="360" w:lineRule="auto"/>
        <w:ind w:firstLine="1201" w:firstLineChars="400"/>
        <w:jc w:val="right"/>
        <w:rPr>
          <w:rFonts w:ascii="华文仿宋" w:hAnsi="华文仿宋" w:eastAsia="华文仿宋" w:cs="Arial"/>
          <w:b/>
          <w:color w:val="000000" w:themeColor="text1"/>
          <w:sz w:val="30"/>
          <w:szCs w:val="30"/>
          <w:shd w:val="clear" w:color="auto" w:fill="FFFFFF"/>
          <w14:textFill>
            <w14:solidFill>
              <w14:schemeClr w14:val="tx1"/>
            </w14:solidFill>
          </w14:textFill>
        </w:rPr>
      </w:pPr>
      <w:r>
        <w:rPr>
          <w:rFonts w:ascii="华文仿宋" w:hAnsi="华文仿宋" w:eastAsia="华文仿宋" w:cs="Arial"/>
          <w:b/>
          <w:color w:val="000000" w:themeColor="text1"/>
          <w:sz w:val="30"/>
          <w:szCs w:val="30"/>
          <w:shd w:val="clear" w:color="auto" w:fill="FFFFFF"/>
          <w14:textFill>
            <w14:solidFill>
              <w14:schemeClr w14:val="tx1"/>
            </w14:solidFill>
          </w14:textFill>
        </w:rPr>
        <w:t>上海师范大学</w:t>
      </w:r>
      <w:r>
        <w:rPr>
          <w:rFonts w:hint="eastAsia" w:ascii="华文仿宋" w:hAnsi="华文仿宋" w:eastAsia="华文仿宋" w:cs="Arial"/>
          <w:b/>
          <w:bCs/>
          <w:color w:val="000000" w:themeColor="text1"/>
          <w:sz w:val="30"/>
          <w:szCs w:val="30"/>
          <w:shd w:val="clear" w:color="auto" w:fill="FFFFFF"/>
          <w14:textFill>
            <w14:solidFill>
              <w14:schemeClr w14:val="tx1"/>
            </w14:solidFill>
          </w14:textFill>
        </w:rPr>
        <w:t>社会治安</w:t>
      </w:r>
      <w:r>
        <w:rPr>
          <w:rFonts w:ascii="华文仿宋" w:hAnsi="华文仿宋" w:eastAsia="华文仿宋" w:cs="Arial"/>
          <w:b/>
          <w:color w:val="000000" w:themeColor="text1"/>
          <w:sz w:val="30"/>
          <w:szCs w:val="30"/>
          <w:shd w:val="clear" w:color="auto" w:fill="FFFFFF"/>
          <w14:textFill>
            <w14:solidFill>
              <w14:schemeClr w14:val="tx1"/>
            </w14:solidFill>
          </w14:textFill>
        </w:rPr>
        <w:t>综合治理委员会</w:t>
      </w:r>
    </w:p>
    <w:p w14:paraId="360CF49E">
      <w:pPr>
        <w:widowControl/>
        <w:spacing w:line="360" w:lineRule="auto"/>
        <w:ind w:firstLine="560"/>
        <w:jc w:val="right"/>
        <w:rPr>
          <w:b/>
          <w:color w:val="000000" w:themeColor="text1"/>
          <w14:textFill>
            <w14:solidFill>
              <w14:schemeClr w14:val="tx1"/>
            </w14:solidFill>
          </w14:textFill>
        </w:rPr>
      </w:pPr>
      <w:r>
        <w:rPr>
          <w:rFonts w:ascii="华文仿宋" w:hAnsi="华文仿宋" w:eastAsia="华文仿宋" w:cs="Arial"/>
          <w:b/>
          <w:color w:val="000000" w:themeColor="text1"/>
          <w:sz w:val="30"/>
          <w:szCs w:val="30"/>
          <w:shd w:val="clear" w:color="auto" w:fill="FFFFFF"/>
          <w14:textFill>
            <w14:solidFill>
              <w14:schemeClr w14:val="tx1"/>
            </w14:solidFill>
          </w14:textFill>
        </w:rPr>
        <w:t>        </w:t>
      </w:r>
      <w:r>
        <w:rPr>
          <w:rFonts w:hint="eastAsia" w:ascii="华文仿宋" w:hAnsi="华文仿宋" w:eastAsia="华文仿宋" w:cs="Arial"/>
          <w:b/>
          <w:color w:val="000000" w:themeColor="text1"/>
          <w:sz w:val="30"/>
          <w:szCs w:val="30"/>
          <w:shd w:val="clear" w:color="auto" w:fill="FFFFFF"/>
          <w14:textFill>
            <w14:solidFill>
              <w14:schemeClr w14:val="tx1"/>
            </w14:solidFill>
          </w14:textFill>
        </w:rPr>
        <w:t xml:space="preserve">          </w:t>
      </w:r>
      <w:r>
        <w:rPr>
          <w:rFonts w:ascii="华文仿宋" w:hAnsi="华文仿宋" w:eastAsia="华文仿宋" w:cs="Arial"/>
          <w:b/>
          <w:color w:val="000000" w:themeColor="text1"/>
          <w:sz w:val="30"/>
          <w:szCs w:val="30"/>
          <w:shd w:val="clear" w:color="auto" w:fill="FFFFFF"/>
          <w14:textFill>
            <w14:solidFill>
              <w14:schemeClr w14:val="tx1"/>
            </w14:solidFill>
          </w14:textFill>
        </w:rPr>
        <w:t>                            二O</w:t>
      </w:r>
      <w:r>
        <w:rPr>
          <w:rFonts w:hint="eastAsia" w:ascii="华文仿宋" w:hAnsi="华文仿宋" w:eastAsia="华文仿宋" w:cs="Arial"/>
          <w:b/>
          <w:color w:val="000000" w:themeColor="text1"/>
          <w:sz w:val="30"/>
          <w:szCs w:val="30"/>
          <w:shd w:val="clear" w:color="auto" w:fill="FFFFFF"/>
          <w14:textFill>
            <w14:solidFill>
              <w14:schemeClr w14:val="tx1"/>
            </w14:solidFill>
          </w14:textFill>
        </w:rPr>
        <w:t>二四</w:t>
      </w:r>
      <w:r>
        <w:rPr>
          <w:rFonts w:ascii="华文仿宋" w:hAnsi="华文仿宋" w:eastAsia="华文仿宋" w:cs="Arial"/>
          <w:b/>
          <w:color w:val="000000" w:themeColor="text1"/>
          <w:sz w:val="30"/>
          <w:szCs w:val="30"/>
          <w:shd w:val="clear" w:color="auto" w:fill="FFFFFF"/>
          <w14:textFill>
            <w14:solidFill>
              <w14:schemeClr w14:val="tx1"/>
            </w14:solidFill>
          </w14:textFill>
        </w:rPr>
        <w:t>年</w:t>
      </w:r>
      <w:r>
        <w:rPr>
          <w:rFonts w:hint="eastAsia" w:ascii="华文仿宋" w:hAnsi="华文仿宋" w:eastAsia="华文仿宋" w:cs="Arial"/>
          <w:b/>
          <w:color w:val="000000" w:themeColor="text1"/>
          <w:sz w:val="30"/>
          <w:szCs w:val="30"/>
          <w:shd w:val="clear" w:color="auto" w:fill="FFFFFF"/>
          <w14:textFill>
            <w14:solidFill>
              <w14:schemeClr w14:val="tx1"/>
            </w14:solidFill>
          </w14:textFill>
        </w:rPr>
        <w:t>十一</w:t>
      </w:r>
      <w:r>
        <w:rPr>
          <w:rFonts w:ascii="华文仿宋" w:hAnsi="华文仿宋" w:eastAsia="华文仿宋" w:cs="Arial"/>
          <w:b/>
          <w:color w:val="000000" w:themeColor="text1"/>
          <w:sz w:val="30"/>
          <w:szCs w:val="30"/>
          <w:shd w:val="clear" w:color="auto" w:fill="FFFFFF"/>
          <w14:textFill>
            <w14:solidFill>
              <w14:schemeClr w14:val="tx1"/>
            </w14:solidFill>
          </w14:textFill>
        </w:rPr>
        <w:t>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38EF2"/>
    <w:multiLevelType w:val="singleLevel"/>
    <w:tmpl w:val="A7238EF2"/>
    <w:lvl w:ilvl="0" w:tentative="0">
      <w:start w:val="3"/>
      <w:numFmt w:val="chineseCounting"/>
      <w:suff w:val="nothing"/>
      <w:lvlText w:val="%1、"/>
      <w:lvlJc w:val="left"/>
      <w:rPr>
        <w:rFonts w:hint="eastAsia"/>
        <w:b/>
      </w:rPr>
    </w:lvl>
  </w:abstractNum>
  <w:abstractNum w:abstractNumId="1">
    <w:nsid w:val="3A9937D8"/>
    <w:multiLevelType w:val="multilevel"/>
    <w:tmpl w:val="3A9937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mZjE2MGZmMTIyZDkxMDZjMjdlYTZmZWFhZjE2MDgifQ=="/>
  </w:docVars>
  <w:rsids>
    <w:rsidRoot w:val="00FC392E"/>
    <w:rsid w:val="0001126F"/>
    <w:rsid w:val="0002540B"/>
    <w:rsid w:val="00027818"/>
    <w:rsid w:val="00044B98"/>
    <w:rsid w:val="00061BA6"/>
    <w:rsid w:val="000701F2"/>
    <w:rsid w:val="0009178E"/>
    <w:rsid w:val="000B0AB9"/>
    <w:rsid w:val="000C4A63"/>
    <w:rsid w:val="000D512D"/>
    <w:rsid w:val="001202D8"/>
    <w:rsid w:val="0014222E"/>
    <w:rsid w:val="00142C81"/>
    <w:rsid w:val="00175880"/>
    <w:rsid w:val="001A55CF"/>
    <w:rsid w:val="001A7E9F"/>
    <w:rsid w:val="001D4A0A"/>
    <w:rsid w:val="001D4C7B"/>
    <w:rsid w:val="00205670"/>
    <w:rsid w:val="00236935"/>
    <w:rsid w:val="002525F6"/>
    <w:rsid w:val="002566A7"/>
    <w:rsid w:val="00256BBD"/>
    <w:rsid w:val="00292E07"/>
    <w:rsid w:val="002A1163"/>
    <w:rsid w:val="002D2AEE"/>
    <w:rsid w:val="002D75CA"/>
    <w:rsid w:val="003030A0"/>
    <w:rsid w:val="00341D4A"/>
    <w:rsid w:val="003771FB"/>
    <w:rsid w:val="003878C3"/>
    <w:rsid w:val="00391527"/>
    <w:rsid w:val="003A3FD4"/>
    <w:rsid w:val="003F503C"/>
    <w:rsid w:val="00412ED1"/>
    <w:rsid w:val="0043693E"/>
    <w:rsid w:val="0044572F"/>
    <w:rsid w:val="00455C94"/>
    <w:rsid w:val="00467F17"/>
    <w:rsid w:val="00470BB8"/>
    <w:rsid w:val="004C7507"/>
    <w:rsid w:val="004D227E"/>
    <w:rsid w:val="004F4120"/>
    <w:rsid w:val="00517E95"/>
    <w:rsid w:val="0054295A"/>
    <w:rsid w:val="005519C9"/>
    <w:rsid w:val="00574354"/>
    <w:rsid w:val="00576C91"/>
    <w:rsid w:val="005B68F2"/>
    <w:rsid w:val="005C0B5C"/>
    <w:rsid w:val="005E6CF0"/>
    <w:rsid w:val="0065650C"/>
    <w:rsid w:val="00667282"/>
    <w:rsid w:val="00673C96"/>
    <w:rsid w:val="006A5002"/>
    <w:rsid w:val="006C41F8"/>
    <w:rsid w:val="00727751"/>
    <w:rsid w:val="00745C67"/>
    <w:rsid w:val="007572B9"/>
    <w:rsid w:val="00773F2A"/>
    <w:rsid w:val="00774F2A"/>
    <w:rsid w:val="00791093"/>
    <w:rsid w:val="007B21B4"/>
    <w:rsid w:val="007C10D9"/>
    <w:rsid w:val="007E38D7"/>
    <w:rsid w:val="008131BF"/>
    <w:rsid w:val="00882788"/>
    <w:rsid w:val="00890CC5"/>
    <w:rsid w:val="008A2436"/>
    <w:rsid w:val="008F05B5"/>
    <w:rsid w:val="00902C67"/>
    <w:rsid w:val="00903D00"/>
    <w:rsid w:val="00973679"/>
    <w:rsid w:val="0097728B"/>
    <w:rsid w:val="009B7772"/>
    <w:rsid w:val="009D2DEA"/>
    <w:rsid w:val="009E7E4D"/>
    <w:rsid w:val="009F64D6"/>
    <w:rsid w:val="009F6943"/>
    <w:rsid w:val="009F7F65"/>
    <w:rsid w:val="00A128BD"/>
    <w:rsid w:val="00A307AE"/>
    <w:rsid w:val="00A32F3B"/>
    <w:rsid w:val="00A51577"/>
    <w:rsid w:val="00A64EB1"/>
    <w:rsid w:val="00A75F84"/>
    <w:rsid w:val="00A9350C"/>
    <w:rsid w:val="00AA1839"/>
    <w:rsid w:val="00AC40CE"/>
    <w:rsid w:val="00B13486"/>
    <w:rsid w:val="00B14EFE"/>
    <w:rsid w:val="00B21EE1"/>
    <w:rsid w:val="00B82DD6"/>
    <w:rsid w:val="00BB5523"/>
    <w:rsid w:val="00BD7E34"/>
    <w:rsid w:val="00BF7E93"/>
    <w:rsid w:val="00C25747"/>
    <w:rsid w:val="00C36926"/>
    <w:rsid w:val="00C36A87"/>
    <w:rsid w:val="00C410F8"/>
    <w:rsid w:val="00C57279"/>
    <w:rsid w:val="00C64285"/>
    <w:rsid w:val="00C95BD5"/>
    <w:rsid w:val="00C965F7"/>
    <w:rsid w:val="00CB25BD"/>
    <w:rsid w:val="00CB3154"/>
    <w:rsid w:val="00CD60F2"/>
    <w:rsid w:val="00CE0437"/>
    <w:rsid w:val="00CE4B27"/>
    <w:rsid w:val="00D14528"/>
    <w:rsid w:val="00D3144A"/>
    <w:rsid w:val="00D427C7"/>
    <w:rsid w:val="00D9306C"/>
    <w:rsid w:val="00D97BBA"/>
    <w:rsid w:val="00DD0961"/>
    <w:rsid w:val="00DF0E11"/>
    <w:rsid w:val="00E052C5"/>
    <w:rsid w:val="00E6435A"/>
    <w:rsid w:val="00EC0776"/>
    <w:rsid w:val="00ED6892"/>
    <w:rsid w:val="00F034DB"/>
    <w:rsid w:val="00F25BB2"/>
    <w:rsid w:val="00F67A2A"/>
    <w:rsid w:val="00FA62BC"/>
    <w:rsid w:val="00FB010F"/>
    <w:rsid w:val="00FB6B30"/>
    <w:rsid w:val="00FC392E"/>
    <w:rsid w:val="03623312"/>
    <w:rsid w:val="03FA1EE1"/>
    <w:rsid w:val="05E661B9"/>
    <w:rsid w:val="06052459"/>
    <w:rsid w:val="06477EDE"/>
    <w:rsid w:val="064859A5"/>
    <w:rsid w:val="0CAD0FF9"/>
    <w:rsid w:val="0DB1322C"/>
    <w:rsid w:val="11265DB1"/>
    <w:rsid w:val="13134866"/>
    <w:rsid w:val="16975508"/>
    <w:rsid w:val="18356460"/>
    <w:rsid w:val="184D326B"/>
    <w:rsid w:val="19CC6629"/>
    <w:rsid w:val="1ADE1C47"/>
    <w:rsid w:val="1E951496"/>
    <w:rsid w:val="207576B2"/>
    <w:rsid w:val="250A4E1F"/>
    <w:rsid w:val="27E03760"/>
    <w:rsid w:val="29605FCF"/>
    <w:rsid w:val="2C9B63ED"/>
    <w:rsid w:val="2E680D39"/>
    <w:rsid w:val="2F7553E7"/>
    <w:rsid w:val="30135F19"/>
    <w:rsid w:val="36A4239D"/>
    <w:rsid w:val="372B59F8"/>
    <w:rsid w:val="3A6676EA"/>
    <w:rsid w:val="3C7D4FFA"/>
    <w:rsid w:val="3DA03298"/>
    <w:rsid w:val="3E4C209F"/>
    <w:rsid w:val="3F536D21"/>
    <w:rsid w:val="475B0E3F"/>
    <w:rsid w:val="47EF2935"/>
    <w:rsid w:val="4E1A5B72"/>
    <w:rsid w:val="51121E6C"/>
    <w:rsid w:val="51F15C3E"/>
    <w:rsid w:val="52570332"/>
    <w:rsid w:val="528C373B"/>
    <w:rsid w:val="56FE7FB1"/>
    <w:rsid w:val="57DB3AEB"/>
    <w:rsid w:val="5AE60790"/>
    <w:rsid w:val="648902AE"/>
    <w:rsid w:val="69F369E3"/>
    <w:rsid w:val="6AB74A67"/>
    <w:rsid w:val="6BF24291"/>
    <w:rsid w:val="6F3325DD"/>
    <w:rsid w:val="6F49376A"/>
    <w:rsid w:val="70DD7DE3"/>
    <w:rsid w:val="73453669"/>
    <w:rsid w:val="73FC60FF"/>
    <w:rsid w:val="7C0D7639"/>
    <w:rsid w:val="7D7B60EA"/>
    <w:rsid w:val="7EB54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1671</Words>
  <Characters>1717</Characters>
  <Lines>20</Lines>
  <Paragraphs>5</Paragraphs>
  <TotalTime>18</TotalTime>
  <ScaleCrop>false</ScaleCrop>
  <LinksUpToDate>false</LinksUpToDate>
  <CharactersWithSpaces>1724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2024-12-04T02:26:00Z</dcterms:created>
  <dc:creator>a</dc:creator>
  <cp:lastModifiedBy>夏日清荷</cp:lastModifiedBy>
  <cp:lastPrinted>2025-03-25T07:17:00Z</cp:lastPrinted>
  <dcterms:modified xsi:type="dcterms:W3CDTF">2025-11-03T05:46:00Z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AED42BDBAFEE4E5D881D3CC1A2106375_13</vt:lpwstr>
  </property>
  <property fmtid="{D5CDD505-2E9C-101B-9397-08002B2CF9AE}" pid="4" name="KSOTemplateDocerSaveRecord">
    <vt:lpwstr>eyJoZGlkIjoiZjg5YmY2ZjU0Yzg4NjRiNDJkMjVlOWQwMzAwNmFlNjEiLCJ1c2VySWQiOiI0MTQ3NjU2MTcifQ==</vt:lpwstr>
  </property>
</Properties>
</file>