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华文中宋" w:hAnsi="华文中宋" w:eastAsia="华文中宋"/>
          <w:b/>
          <w:sz w:val="32"/>
          <w:szCs w:val="32"/>
        </w:rPr>
      </w:pPr>
      <w:r>
        <w:rPr>
          <w:rFonts w:hint="eastAsia" w:ascii="华文中宋" w:hAnsi="华文中宋" w:eastAsia="华文中宋"/>
          <w:b/>
          <w:sz w:val="32"/>
          <w:szCs w:val="32"/>
        </w:rPr>
        <w:t>中国银行助学贷款提前还款手机银行、网上银行操作提示</w:t>
      </w:r>
    </w:p>
    <w:p>
      <w:pPr>
        <w:jc w:val="center"/>
        <w:rPr>
          <w:sz w:val="32"/>
          <w:szCs w:val="32"/>
        </w:rPr>
      </w:pPr>
    </w:p>
    <w:p>
      <w:pPr>
        <w:ind w:firstLine="482" w:firstLineChars="200"/>
        <w:rPr>
          <w:rFonts w:hint="eastAsia" w:ascii="楷体" w:hAnsi="楷体" w:eastAsia="楷体"/>
          <w:b/>
          <w:sz w:val="24"/>
          <w:szCs w:val="24"/>
        </w:rPr>
      </w:pPr>
      <w:r>
        <w:rPr>
          <w:rFonts w:hint="eastAsia" w:ascii="楷体" w:hAnsi="楷体" w:eastAsia="楷体"/>
          <w:b/>
          <w:sz w:val="24"/>
          <w:szCs w:val="24"/>
        </w:rPr>
        <w:t>手机银行、网上银行都必须前往就近中国银行网</w:t>
      </w:r>
      <w:r>
        <w:rPr>
          <w:rFonts w:hint="eastAsia" w:ascii="楷体" w:hAnsi="楷体" w:eastAsia="楷体"/>
          <w:b/>
          <w:sz w:val="24"/>
          <w:szCs w:val="24"/>
          <w:lang w:eastAsia="zh-CN"/>
        </w:rPr>
        <w:t>点</w:t>
      </w:r>
      <w:bookmarkStart w:id="0" w:name="_GoBack"/>
      <w:bookmarkEnd w:id="0"/>
      <w:r>
        <w:rPr>
          <w:rFonts w:hint="eastAsia" w:ascii="楷体" w:hAnsi="楷体" w:eastAsia="楷体"/>
          <w:b/>
          <w:sz w:val="24"/>
          <w:szCs w:val="24"/>
        </w:rPr>
        <w:t>柜台开通，开通的版本都需要一个</w:t>
      </w:r>
      <w:r>
        <w:rPr>
          <w:rFonts w:hint="eastAsia" w:ascii="楷体" w:hAnsi="楷体" w:eastAsia="楷体"/>
          <w:b/>
          <w:color w:val="FF0000"/>
          <w:sz w:val="24"/>
          <w:szCs w:val="24"/>
          <w:u w:val="single"/>
        </w:rPr>
        <w:t>动态口令牌</w:t>
      </w:r>
      <w:r>
        <w:rPr>
          <w:rFonts w:hint="eastAsia" w:ascii="楷体" w:hAnsi="楷体" w:eastAsia="楷体"/>
          <w:b/>
          <w:color w:val="FF0000"/>
          <w:sz w:val="24"/>
          <w:szCs w:val="24"/>
        </w:rPr>
        <w:t>，</w:t>
      </w:r>
      <w:r>
        <w:rPr>
          <w:rFonts w:hint="eastAsia" w:ascii="楷体" w:hAnsi="楷体" w:eastAsia="楷体"/>
          <w:b/>
          <w:sz w:val="24"/>
          <w:szCs w:val="24"/>
        </w:rPr>
        <w:t>否则无法完成助学贷款的提前还款。</w:t>
      </w:r>
      <w:r>
        <w:rPr>
          <w:rFonts w:hint="eastAsia" w:ascii="楷体" w:hAnsi="楷体" w:eastAsia="楷体"/>
          <w:b/>
          <w:color w:val="0070C0"/>
          <w:sz w:val="24"/>
          <w:szCs w:val="24"/>
        </w:rPr>
        <w:t>通过手机银行/网上银行的提前还款，若操作后，账户会立刻扣款，则提前还款成功。如没有扣款，则操作有误，可联系银行咨询。</w:t>
      </w:r>
    </w:p>
    <w:p>
      <w:pPr>
        <w:rPr>
          <w:rFonts w:ascii="楷体" w:hAnsi="楷体" w:eastAsia="楷体"/>
          <w:b/>
          <w:color w:val="0070C0"/>
          <w:sz w:val="24"/>
          <w:szCs w:val="24"/>
        </w:rPr>
      </w:pPr>
    </w:p>
    <w:p>
      <w:pPr>
        <w:pStyle w:val="9"/>
        <w:ind w:left="432" w:firstLine="0"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一、手机银行</w:t>
      </w:r>
    </w:p>
    <w:p>
      <w:pPr>
        <w:pStyle w:val="9"/>
        <w:ind w:left="360" w:firstLine="0"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登陆主页面进入“首页”，点击“贷款”（如下图所示）</w:t>
      </w:r>
    </w:p>
    <w:p>
      <w:pPr>
        <w:pStyle w:val="9"/>
        <w:ind w:left="360" w:firstLine="0" w:firstLineChars="0"/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1607820</wp:posOffset>
                </wp:positionH>
                <wp:positionV relativeFrom="paragraph">
                  <wp:posOffset>1089660</wp:posOffset>
                </wp:positionV>
                <wp:extent cx="327660" cy="220980"/>
                <wp:effectExtent l="38100" t="38100" r="53340" b="83820"/>
                <wp:wrapNone/>
                <wp:docPr id="8" name="直接箭头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7660" cy="2209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26.6pt;margin-top:85.8pt;height:17.4pt;width:25.8pt;z-index:251659264;mso-width-relative:page;mso-height-relative:page;" filled="f" stroked="t" coordsize="21600,21600" o:gfxdata="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CI+xW/YAAAACwEAAA8AAAAAAAAAAQAgAAAAIgAAAGRycy9kb3ducmV2Lnht&#10;bFBLAQIUABQAAAAIAIdO4kDO9HOfMgIAADQEAAAOAAAAAAAAAAEAIAAAACcBAABkcnMvZTJvRG9j&#10;LnhtbFBLBQYAAAAABgAGAFkBAADLBQAAAAA=&#10;">
                <v:fill on="f" focussize="0,0"/>
                <v:stroke weight="2pt" color="#C0504D [3205]" joinstyle="round" endarrow="open"/>
                <v:imagedata o:title=""/>
                <o:lock v:ext="edit" aspectratio="f"/>
                <v:shadow on="t" color="#000000" opacity="24903f" offset="0pt,1.5748031496063pt" origin="0f,32768f" matrix="65536f,0f,0f,65536f"/>
              </v:shape>
            </w:pict>
          </mc:Fallback>
        </mc:AlternateContent>
      </w:r>
      <w:r>
        <w:rPr>
          <w:rFonts w:hint="eastAsia"/>
        </w:rPr>
        <w:drawing>
          <wp:inline distT="0" distB="0" distL="0" distR="0">
            <wp:extent cx="2042160" cy="3154680"/>
            <wp:effectExtent l="0" t="0" r="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3167" cy="315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ind w:left="360" w:firstLine="0"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点击最上面的“贷款本金总余额”，进入还款界面，</w:t>
      </w:r>
      <w:r>
        <w:rPr>
          <w:rFonts w:hint="eastAsia"/>
          <w:b/>
          <w:color w:val="FF0000"/>
          <w:sz w:val="24"/>
          <w:szCs w:val="24"/>
        </w:rPr>
        <w:t>逐笔</w:t>
      </w:r>
      <w:r>
        <w:rPr>
          <w:rFonts w:hint="eastAsia"/>
          <w:sz w:val="24"/>
          <w:szCs w:val="24"/>
        </w:rPr>
        <w:t>归还贷款（如下图所示）</w:t>
      </w:r>
    </w:p>
    <w:p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358140</wp:posOffset>
                </wp:positionH>
                <wp:positionV relativeFrom="paragraph">
                  <wp:posOffset>480060</wp:posOffset>
                </wp:positionV>
                <wp:extent cx="2004060" cy="670560"/>
                <wp:effectExtent l="0" t="0" r="15240" b="15240"/>
                <wp:wrapNone/>
                <wp:docPr id="2" name="椭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4060" cy="670560"/>
                        </a:xfrm>
                        <a:prstGeom prst="ellipse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8.2pt;margin-top:37.8pt;height:52.8pt;width:157.8pt;z-index:251660288;v-text-anchor:middle;mso-width-relative:page;mso-height-relative:page;" fillcolor="#FFFFFF [3201]" filled="t" stroked="t" coordsize="21600,21600" o:gfxdata="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pxOWStcAAAAJAQAA&#10;DwAAAAAAAAABACAAAAAiAAAAZHJzL2Rvd25yZXYueG1sUEsBAhQAFAAAAAgAh07iQBmtIa1TAgAA&#10;rwQAAA4AAAAAAAAAAQAgAAAAJgEAAGRycy9lMm9Eb2MueG1sUEsFBgAAAAAGAAYAWQEAAOsFAAAA&#10;AA==&#10;">
                <v:fill on="t" opacity="0f" focussize="0,0"/>
                <v:stroke weight="2pt" color="#FF0000 [3209]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drawing>
          <wp:inline distT="0" distB="0" distL="0" distR="0">
            <wp:extent cx="2270760" cy="35814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2629" cy="3584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1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网上银行</w:t>
      </w:r>
    </w:p>
    <w:p>
      <w:pPr>
        <w:pStyle w:val="9"/>
        <w:ind w:left="432" w:firstLine="0" w:firstLineChars="0"/>
        <w:rPr>
          <w:sz w:val="24"/>
          <w:szCs w:val="24"/>
        </w:rPr>
      </w:pP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中国银行网上银行网址：</w:t>
      </w:r>
      <w:r>
        <w:fldChar w:fldCharType="begin"/>
      </w:r>
      <w:r>
        <w:instrText xml:space="preserve"> HYPERLINK "http://www.boc.cn/" </w:instrText>
      </w:r>
      <w:r>
        <w:fldChar w:fldCharType="separate"/>
      </w:r>
      <w:r>
        <w:rPr>
          <w:rStyle w:val="7"/>
          <w:sz w:val="24"/>
          <w:szCs w:val="24"/>
        </w:rPr>
        <w:t>http://www.boc.cn/</w:t>
      </w:r>
      <w:r>
        <w:rPr>
          <w:rStyle w:val="7"/>
          <w:sz w:val="24"/>
          <w:szCs w:val="24"/>
        </w:rPr>
        <w:fldChar w:fldCharType="end"/>
      </w:r>
      <w:r>
        <w:rPr>
          <w:rFonts w:hint="eastAsia"/>
          <w:sz w:val="24"/>
          <w:szCs w:val="24"/>
        </w:rPr>
        <w:t xml:space="preserve"> 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进入主页面点击“个人客户网银登陆”（如下图所示）</w:t>
      </w:r>
    </w:p>
    <w:p>
      <w:pPr>
        <w:rPr>
          <w:sz w:val="24"/>
          <w:szCs w:val="24"/>
        </w:rPr>
      </w:pPr>
    </w:p>
    <w:p>
      <w:r>
        <w:rPr>
          <w:rFonts w:hint="eastAsia"/>
        </w:rPr>
        <w:drawing>
          <wp:inline distT="0" distB="0" distL="0" distR="0">
            <wp:extent cx="5067300" cy="345186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5014" cy="3450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点击“贷款管理”，再点击“贷款还款”，进入还款界面，</w:t>
      </w:r>
      <w:r>
        <w:rPr>
          <w:rFonts w:hint="eastAsia"/>
          <w:b/>
          <w:color w:val="FF0000"/>
          <w:sz w:val="24"/>
          <w:szCs w:val="24"/>
        </w:rPr>
        <w:t>逐笔</w:t>
      </w:r>
      <w:r>
        <w:rPr>
          <w:rFonts w:hint="eastAsia"/>
          <w:sz w:val="24"/>
          <w:szCs w:val="24"/>
        </w:rPr>
        <w:t>归还贷款（如下图所示）</w:t>
      </w:r>
    </w:p>
    <w:p>
      <w:pPr>
        <w:rPr>
          <w:sz w:val="24"/>
          <w:szCs w:val="24"/>
        </w:rPr>
      </w:pPr>
    </w:p>
    <w:p>
      <w:r>
        <w:rPr>
          <w:rFonts w:hint="eastAsia"/>
        </w:rPr>
        <w:drawing>
          <wp:inline distT="0" distB="0" distL="0" distR="0">
            <wp:extent cx="4857115" cy="3474720"/>
            <wp:effectExtent l="0" t="0" r="63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5412" cy="3473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BF1365"/>
    <w:multiLevelType w:val="multilevel"/>
    <w:tmpl w:val="3DBF1365"/>
    <w:lvl w:ilvl="0" w:tentative="0">
      <w:start w:val="2"/>
      <w:numFmt w:val="japaneseCounting"/>
      <w:lvlText w:val="%1、"/>
      <w:lvlJc w:val="left"/>
      <w:pPr>
        <w:ind w:left="912" w:hanging="48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72" w:hanging="420"/>
      </w:pPr>
    </w:lvl>
    <w:lvl w:ilvl="2" w:tentative="0">
      <w:start w:val="1"/>
      <w:numFmt w:val="lowerRoman"/>
      <w:lvlText w:val="%3."/>
      <w:lvlJc w:val="right"/>
      <w:pPr>
        <w:ind w:left="1692" w:hanging="420"/>
      </w:pPr>
    </w:lvl>
    <w:lvl w:ilvl="3" w:tentative="0">
      <w:start w:val="1"/>
      <w:numFmt w:val="decimal"/>
      <w:lvlText w:val="%4."/>
      <w:lvlJc w:val="left"/>
      <w:pPr>
        <w:ind w:left="2112" w:hanging="420"/>
      </w:pPr>
    </w:lvl>
    <w:lvl w:ilvl="4" w:tentative="0">
      <w:start w:val="1"/>
      <w:numFmt w:val="lowerLetter"/>
      <w:lvlText w:val="%5)"/>
      <w:lvlJc w:val="left"/>
      <w:pPr>
        <w:ind w:left="2532" w:hanging="420"/>
      </w:pPr>
    </w:lvl>
    <w:lvl w:ilvl="5" w:tentative="0">
      <w:start w:val="1"/>
      <w:numFmt w:val="lowerRoman"/>
      <w:lvlText w:val="%6."/>
      <w:lvlJc w:val="right"/>
      <w:pPr>
        <w:ind w:left="2952" w:hanging="420"/>
      </w:pPr>
    </w:lvl>
    <w:lvl w:ilvl="6" w:tentative="0">
      <w:start w:val="1"/>
      <w:numFmt w:val="decimal"/>
      <w:lvlText w:val="%7."/>
      <w:lvlJc w:val="left"/>
      <w:pPr>
        <w:ind w:left="3372" w:hanging="420"/>
      </w:pPr>
    </w:lvl>
    <w:lvl w:ilvl="7" w:tentative="0">
      <w:start w:val="1"/>
      <w:numFmt w:val="lowerLetter"/>
      <w:lvlText w:val="%8)"/>
      <w:lvlJc w:val="left"/>
      <w:pPr>
        <w:ind w:left="3792" w:hanging="420"/>
      </w:pPr>
    </w:lvl>
    <w:lvl w:ilvl="8" w:tentative="0">
      <w:start w:val="1"/>
      <w:numFmt w:val="lowerRoman"/>
      <w:lvlText w:val="%9."/>
      <w:lvlJc w:val="right"/>
      <w:pPr>
        <w:ind w:left="4212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EA1"/>
    <w:rsid w:val="00035CF6"/>
    <w:rsid w:val="00044D16"/>
    <w:rsid w:val="00064AC3"/>
    <w:rsid w:val="0020747E"/>
    <w:rsid w:val="00286D20"/>
    <w:rsid w:val="002B5ECB"/>
    <w:rsid w:val="004A0D4D"/>
    <w:rsid w:val="00537FED"/>
    <w:rsid w:val="005C2E5B"/>
    <w:rsid w:val="0063077F"/>
    <w:rsid w:val="00636EA1"/>
    <w:rsid w:val="006D18FB"/>
    <w:rsid w:val="007F192F"/>
    <w:rsid w:val="00811F5B"/>
    <w:rsid w:val="00A05A0C"/>
    <w:rsid w:val="00C65FB0"/>
    <w:rsid w:val="00DC7FA8"/>
    <w:rsid w:val="00E6100A"/>
    <w:rsid w:val="00EE7EC8"/>
    <w:rsid w:val="00FA19E1"/>
    <w:rsid w:val="00FB2707"/>
    <w:rsid w:val="00FE461D"/>
    <w:rsid w:val="00FE5D07"/>
    <w:rsid w:val="26EB70A8"/>
    <w:rsid w:val="40EB0E34"/>
    <w:rsid w:val="7F976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批注框文本 Char"/>
    <w:basedOn w:val="6"/>
    <w:link w:val="2"/>
    <w:semiHidden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页眉 Char"/>
    <w:basedOn w:val="6"/>
    <w:link w:val="4"/>
    <w:uiPriority w:val="99"/>
    <w:rPr>
      <w:sz w:val="18"/>
      <w:szCs w:val="18"/>
    </w:rPr>
  </w:style>
  <w:style w:type="character" w:customStyle="1" w:styleId="11">
    <w:name w:val="页脚 Char"/>
    <w:basedOn w:val="6"/>
    <w:link w:val="3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54</Words>
  <Characters>312</Characters>
  <Lines>2</Lines>
  <Paragraphs>1</Paragraphs>
  <TotalTime>260</TotalTime>
  <ScaleCrop>false</ScaleCrop>
  <LinksUpToDate>false</LinksUpToDate>
  <CharactersWithSpaces>365</CharactersWithSpaces>
  <Application>WPS Office_11.1.0.8567_F1E327BC-269C-435d-A152-05C5408002CA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2018-04-23T01:35:00Z</dcterms:created>
  <dc:creator>潘杨</dc:creator>
  <cp:lastModifiedBy>satin555</cp:lastModifiedBy>
  <dcterms:modified xsi:type="dcterms:W3CDTF">2019-04-19T00:26:02Z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2052-11.1.0.8567</vt:lpwstr>
  </property>
</Properties>
</file>