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0A" w:rsidRPr="0002780A" w:rsidRDefault="0002780A" w:rsidP="0002780A">
      <w:pPr>
        <w:widowControl/>
        <w:jc w:val="center"/>
        <w:rPr>
          <w:rFonts w:ascii="Tahoma" w:eastAsia="宋体" w:hAnsi="Tahoma" w:cs="Tahoma"/>
          <w:kern w:val="0"/>
          <w:sz w:val="17"/>
          <w:szCs w:val="17"/>
        </w:rPr>
      </w:pPr>
      <w:bookmarkStart w:id="0" w:name="_GoBack"/>
      <w:r w:rsidRPr="0002780A">
        <w:rPr>
          <w:rFonts w:ascii="Tahoma" w:eastAsia="宋体" w:hAnsi="Tahoma" w:cs="Tahoma"/>
          <w:b/>
          <w:bCs/>
          <w:kern w:val="0"/>
          <w:sz w:val="28"/>
          <w:szCs w:val="28"/>
        </w:rPr>
        <w:t>上海师范大学人文社会科学重大项目申报与实施管理办法</w:t>
      </w:r>
    </w:p>
    <w:bookmarkEnd w:id="0"/>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为进一步做好我校人文社会科学重大项目申报与实施工作，提高项目的立项率，提升项目的研究质量，推进我校人文社会科学研究的繁荣发展，根据各级各类重大项目的有关管理办法，并结合我校实际，特制定本办法。</w:t>
      </w:r>
    </w:p>
    <w:p w:rsidR="0002780A" w:rsidRPr="0002780A" w:rsidRDefault="0002780A" w:rsidP="0002780A">
      <w:pPr>
        <w:widowControl/>
        <w:ind w:firstLine="562"/>
        <w:jc w:val="left"/>
        <w:rPr>
          <w:rFonts w:ascii="Tahoma" w:eastAsia="宋体" w:hAnsi="Tahoma" w:cs="Tahoma"/>
          <w:kern w:val="0"/>
          <w:sz w:val="17"/>
          <w:szCs w:val="17"/>
        </w:rPr>
      </w:pPr>
      <w:r w:rsidRPr="0002780A">
        <w:rPr>
          <w:rFonts w:ascii="Tahoma" w:eastAsia="宋体" w:hAnsi="Tahoma" w:cs="Tahoma"/>
          <w:b/>
          <w:bCs/>
          <w:kern w:val="0"/>
          <w:sz w:val="28"/>
          <w:szCs w:val="28"/>
        </w:rPr>
        <w:t>一、选题推荐与项目申报</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第一条</w:t>
      </w:r>
      <w:r w:rsidRPr="0002780A">
        <w:rPr>
          <w:rFonts w:ascii="Tahoma" w:eastAsia="宋体" w:hAnsi="Tahoma" w:cs="Tahoma"/>
          <w:kern w:val="0"/>
          <w:sz w:val="28"/>
          <w:szCs w:val="28"/>
        </w:rPr>
        <w:t> </w:t>
      </w:r>
      <w:r w:rsidRPr="0002780A">
        <w:rPr>
          <w:rFonts w:ascii="Tahoma" w:eastAsia="宋体" w:hAnsi="Tahoma" w:cs="Tahoma"/>
          <w:kern w:val="0"/>
          <w:sz w:val="28"/>
          <w:szCs w:val="28"/>
        </w:rPr>
        <w:t>重大项目是指国家社会科学基金重大招标项目、教育部哲学社会科学研究重大课题攻关项目、马克思主义理论研究和建设工程重大项目。</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第二条</w:t>
      </w:r>
      <w:r w:rsidRPr="0002780A">
        <w:rPr>
          <w:rFonts w:ascii="Tahoma" w:eastAsia="宋体" w:hAnsi="Tahoma" w:cs="Tahoma"/>
          <w:kern w:val="0"/>
          <w:sz w:val="28"/>
          <w:szCs w:val="28"/>
        </w:rPr>
        <w:t> </w:t>
      </w:r>
      <w:r w:rsidRPr="0002780A">
        <w:rPr>
          <w:rFonts w:ascii="Tahoma" w:eastAsia="宋体" w:hAnsi="Tahoma" w:cs="Tahoma"/>
          <w:kern w:val="0"/>
          <w:sz w:val="28"/>
          <w:szCs w:val="28"/>
        </w:rPr>
        <w:t>社科处和相关学院应高度重视各级各类重大项目的选题征集工作，大力宣传并积极组织和发动我校文科教师和科研学术团队参与，力争使我校具有竞争优势的选题入选招标指南。各一级博士点负责人、二级博士点负责人、二级教授均有义务积极申报重大项目。</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为促进和鼓励教师和科研学术团队积极参与重大项目选题征集工作，并提高选题入选率，学校将设立文科重大培育项目，凡被列入重大培育项目者，学校给予陆万元资助。</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承担校文科重大培育项目的负责人（含本校在职、退休教师，学校特聘教授、兼职教授），必须向社科处报送选题。</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第三条</w:t>
      </w:r>
      <w:r w:rsidRPr="0002780A">
        <w:rPr>
          <w:rFonts w:ascii="Tahoma" w:eastAsia="宋体" w:hAnsi="Tahoma" w:cs="Tahoma"/>
          <w:kern w:val="0"/>
          <w:sz w:val="28"/>
          <w:szCs w:val="28"/>
        </w:rPr>
        <w:t> </w:t>
      </w:r>
      <w:r w:rsidRPr="0002780A">
        <w:rPr>
          <w:rFonts w:ascii="Tahoma" w:eastAsia="宋体" w:hAnsi="Tahoma" w:cs="Tahoma"/>
          <w:kern w:val="0"/>
          <w:sz w:val="28"/>
          <w:szCs w:val="28"/>
        </w:rPr>
        <w:t>招标公告公布后，拟申报重大项目的首席专家要积极整合校内外学术力量，组建科研基础扎实、结构合理的课题申报团</w:t>
      </w:r>
      <w:r w:rsidRPr="0002780A">
        <w:rPr>
          <w:rFonts w:ascii="Tahoma" w:eastAsia="宋体" w:hAnsi="Tahoma" w:cs="Tahoma"/>
          <w:kern w:val="0"/>
          <w:sz w:val="28"/>
          <w:szCs w:val="28"/>
        </w:rPr>
        <w:lastRenderedPageBreak/>
        <w:t>队，并组织课题组成员精心做好课题设计、论证及投标材料填写等工作。</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承担校文科重大培育项目的课题负责人及其团队如报送的选题成功入选，或重大项目申报指南中选题研究方向与自己的研究领域基本一致的，必须组织申报团队进行申报。</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第四条</w:t>
      </w:r>
      <w:r w:rsidRPr="0002780A">
        <w:rPr>
          <w:rFonts w:ascii="Tahoma" w:eastAsia="宋体" w:hAnsi="Tahoma" w:cs="Tahoma"/>
          <w:kern w:val="0"/>
          <w:sz w:val="28"/>
          <w:szCs w:val="28"/>
        </w:rPr>
        <w:t> </w:t>
      </w:r>
      <w:r w:rsidRPr="0002780A">
        <w:rPr>
          <w:rFonts w:ascii="Tahoma" w:eastAsia="宋体" w:hAnsi="Tahoma" w:cs="Tahoma"/>
          <w:kern w:val="0"/>
          <w:sz w:val="28"/>
          <w:szCs w:val="28"/>
        </w:rPr>
        <w:t>项目申请书上报上级主管部门之前，学校将组织申报论证会，邀请相关专家进行针对性指导，申报者根据专家意见做进一步修改。</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第五条</w:t>
      </w:r>
      <w:r w:rsidRPr="0002780A">
        <w:rPr>
          <w:rFonts w:ascii="Tahoma" w:eastAsia="宋体" w:hAnsi="Tahoma" w:cs="Tahoma"/>
          <w:kern w:val="0"/>
          <w:sz w:val="28"/>
          <w:szCs w:val="28"/>
        </w:rPr>
        <w:t xml:space="preserve"> </w:t>
      </w:r>
      <w:r w:rsidRPr="0002780A">
        <w:rPr>
          <w:rFonts w:ascii="Tahoma" w:eastAsia="宋体" w:hAnsi="Tahoma" w:cs="Tahoma"/>
          <w:kern w:val="0"/>
          <w:sz w:val="28"/>
          <w:szCs w:val="28"/>
        </w:rPr>
        <w:t>为鼓励我校教师申报上述两类重大项目，学校在申报书报送后，对积极参与申报的老师，给予课题组伍仟元的申报经费资助。</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学校对通过全国哲学社会科学规划办公室或教育部组织的重大项目通讯评议、初审进入答辩程序的或选题入选重大课题招标的，均给予壹万元的申报经费资助。</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鉴于校文科重大培育项目资助的经费中已包含上述经费，故对已被列为校文科重大培育项目的，学校不再另外资助。</w:t>
      </w:r>
    </w:p>
    <w:p w:rsidR="0002780A" w:rsidRPr="0002780A" w:rsidRDefault="0002780A" w:rsidP="0002780A">
      <w:pPr>
        <w:widowControl/>
        <w:ind w:firstLine="562"/>
        <w:jc w:val="left"/>
        <w:rPr>
          <w:rFonts w:ascii="Tahoma" w:eastAsia="宋体" w:hAnsi="Tahoma" w:cs="Tahoma"/>
          <w:kern w:val="0"/>
          <w:sz w:val="17"/>
          <w:szCs w:val="17"/>
        </w:rPr>
      </w:pPr>
      <w:r w:rsidRPr="0002780A">
        <w:rPr>
          <w:rFonts w:ascii="Tahoma" w:eastAsia="宋体" w:hAnsi="Tahoma" w:cs="Tahoma"/>
          <w:b/>
          <w:bCs/>
          <w:kern w:val="0"/>
          <w:sz w:val="28"/>
          <w:szCs w:val="28"/>
        </w:rPr>
        <w:t>二、项目管理与实施保障</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第六条</w:t>
      </w:r>
      <w:r w:rsidRPr="0002780A">
        <w:rPr>
          <w:rFonts w:ascii="Tahoma" w:eastAsia="宋体" w:hAnsi="Tahoma" w:cs="Tahoma"/>
          <w:kern w:val="0"/>
          <w:sz w:val="28"/>
          <w:szCs w:val="28"/>
        </w:rPr>
        <w:t> </w:t>
      </w:r>
      <w:r w:rsidRPr="0002780A">
        <w:rPr>
          <w:rFonts w:ascii="Tahoma" w:eastAsia="宋体" w:hAnsi="Tahoma" w:cs="Tahoma"/>
          <w:kern w:val="0"/>
          <w:sz w:val="28"/>
          <w:szCs w:val="28"/>
        </w:rPr>
        <w:t>重大项目获准立项后，课题组须在一个月内以</w:t>
      </w:r>
      <w:r w:rsidRPr="0002780A">
        <w:rPr>
          <w:rFonts w:ascii="Tahoma" w:eastAsia="宋体" w:hAnsi="Tahoma" w:cs="Tahoma"/>
          <w:kern w:val="0"/>
          <w:sz w:val="28"/>
          <w:szCs w:val="28"/>
        </w:rPr>
        <w:t>“</w:t>
      </w:r>
      <w:r w:rsidRPr="0002780A">
        <w:rPr>
          <w:rFonts w:ascii="Tahoma" w:eastAsia="宋体" w:hAnsi="Tahoma" w:cs="Tahoma"/>
          <w:kern w:val="0"/>
          <w:sz w:val="28"/>
          <w:szCs w:val="28"/>
        </w:rPr>
        <w:t>二次论证</w:t>
      </w:r>
      <w:r w:rsidRPr="0002780A">
        <w:rPr>
          <w:rFonts w:ascii="Tahoma" w:eastAsia="宋体" w:hAnsi="Tahoma" w:cs="Tahoma"/>
          <w:kern w:val="0"/>
          <w:sz w:val="28"/>
          <w:szCs w:val="28"/>
        </w:rPr>
        <w:t>”</w:t>
      </w:r>
      <w:r w:rsidRPr="0002780A">
        <w:rPr>
          <w:rFonts w:ascii="Tahoma" w:eastAsia="宋体" w:hAnsi="Tahoma" w:cs="Tahoma"/>
          <w:kern w:val="0"/>
          <w:sz w:val="28"/>
          <w:szCs w:val="28"/>
        </w:rPr>
        <w:t>方式完成课题的开题论证。项目开题后，项目负责人须撰写开题纪要，并在开题后一周内报送社科处。教育部哲学社会科学研究重大课题攻关项目举行的开题报告会，须由社科处主持、教育部社科司领导出席。</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lastRenderedPageBreak/>
        <w:t>第七条</w:t>
      </w:r>
      <w:r w:rsidRPr="0002780A">
        <w:rPr>
          <w:rFonts w:ascii="Tahoma" w:eastAsia="宋体" w:hAnsi="Tahoma" w:cs="Tahoma"/>
          <w:kern w:val="0"/>
          <w:sz w:val="28"/>
          <w:szCs w:val="28"/>
        </w:rPr>
        <w:t> </w:t>
      </w:r>
      <w:r w:rsidRPr="0002780A">
        <w:rPr>
          <w:rFonts w:ascii="Tahoma" w:eastAsia="宋体" w:hAnsi="Tahoma" w:cs="Tahoma"/>
          <w:kern w:val="0"/>
          <w:sz w:val="28"/>
          <w:szCs w:val="28"/>
        </w:rPr>
        <w:t>在重大项目的正常研究时限内（不包括项目延长期间），学校给予一定的支持和条件保障，具体包括：</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1.</w:t>
      </w:r>
      <w:r w:rsidRPr="0002780A">
        <w:rPr>
          <w:rFonts w:ascii="Tahoma" w:eastAsia="宋体" w:hAnsi="Tahoma" w:cs="Tahoma"/>
          <w:kern w:val="0"/>
          <w:sz w:val="28"/>
          <w:szCs w:val="28"/>
        </w:rPr>
        <w:t>获取国家社会科学基金重大招标项目或教育部重大攻关项目并按时</w:t>
      </w:r>
      <w:proofErr w:type="gramStart"/>
      <w:r w:rsidRPr="0002780A">
        <w:rPr>
          <w:rFonts w:ascii="Tahoma" w:eastAsia="宋体" w:hAnsi="Tahoma" w:cs="Tahoma"/>
          <w:kern w:val="0"/>
          <w:sz w:val="28"/>
          <w:szCs w:val="28"/>
        </w:rPr>
        <w:t>通过结项者</w:t>
      </w:r>
      <w:proofErr w:type="gramEnd"/>
      <w:r w:rsidRPr="0002780A">
        <w:rPr>
          <w:rFonts w:ascii="Tahoma" w:eastAsia="宋体" w:hAnsi="Tahoma" w:cs="Tahoma"/>
          <w:kern w:val="0"/>
          <w:sz w:val="28"/>
          <w:szCs w:val="28"/>
        </w:rPr>
        <w:t>，按照学校科研奖励规定执行。</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2.</w:t>
      </w:r>
      <w:r w:rsidRPr="0002780A">
        <w:rPr>
          <w:rFonts w:ascii="Tahoma" w:eastAsia="宋体" w:hAnsi="Tahoma" w:cs="Tahoma"/>
          <w:kern w:val="0"/>
          <w:sz w:val="28"/>
          <w:szCs w:val="28"/>
        </w:rPr>
        <w:t>凡以上海师范大学为第一单位承担重大项目的，学校按到位研究经费</w:t>
      </w:r>
      <w:r w:rsidRPr="0002780A">
        <w:rPr>
          <w:rFonts w:ascii="Tahoma" w:eastAsia="宋体" w:hAnsi="Tahoma" w:cs="Tahoma"/>
          <w:kern w:val="0"/>
          <w:sz w:val="28"/>
          <w:szCs w:val="28"/>
        </w:rPr>
        <w:t>1</w:t>
      </w:r>
      <w:r w:rsidRPr="0002780A">
        <w:rPr>
          <w:rFonts w:ascii="Tahoma" w:eastAsia="宋体" w:hAnsi="Tahoma" w:cs="Tahoma"/>
          <w:kern w:val="0"/>
          <w:sz w:val="28"/>
          <w:szCs w:val="28"/>
        </w:rPr>
        <w:t>：</w:t>
      </w:r>
      <w:r w:rsidRPr="0002780A">
        <w:rPr>
          <w:rFonts w:ascii="Tahoma" w:eastAsia="宋体" w:hAnsi="Tahoma" w:cs="Tahoma"/>
          <w:kern w:val="0"/>
          <w:sz w:val="28"/>
          <w:szCs w:val="28"/>
        </w:rPr>
        <w:t>1</w:t>
      </w:r>
      <w:r w:rsidRPr="0002780A">
        <w:rPr>
          <w:rFonts w:ascii="Tahoma" w:eastAsia="宋体" w:hAnsi="Tahoma" w:cs="Tahoma"/>
          <w:kern w:val="0"/>
          <w:sz w:val="28"/>
          <w:szCs w:val="28"/>
        </w:rPr>
        <w:t>提供配套经费，后期所获得的滚动资金亦按照</w:t>
      </w:r>
      <w:r w:rsidRPr="0002780A">
        <w:rPr>
          <w:rFonts w:ascii="Tahoma" w:eastAsia="宋体" w:hAnsi="Tahoma" w:cs="Tahoma"/>
          <w:kern w:val="0"/>
          <w:sz w:val="28"/>
          <w:szCs w:val="28"/>
        </w:rPr>
        <w:t>1</w:t>
      </w:r>
      <w:r w:rsidRPr="0002780A">
        <w:rPr>
          <w:rFonts w:ascii="Tahoma" w:eastAsia="宋体" w:hAnsi="Tahoma" w:cs="Tahoma"/>
          <w:kern w:val="0"/>
          <w:sz w:val="28"/>
          <w:szCs w:val="28"/>
        </w:rPr>
        <w:t>：</w:t>
      </w:r>
      <w:r w:rsidRPr="0002780A">
        <w:rPr>
          <w:rFonts w:ascii="Tahoma" w:eastAsia="宋体" w:hAnsi="Tahoma" w:cs="Tahoma"/>
          <w:kern w:val="0"/>
          <w:sz w:val="28"/>
          <w:szCs w:val="28"/>
        </w:rPr>
        <w:t>1</w:t>
      </w:r>
      <w:r w:rsidRPr="0002780A">
        <w:rPr>
          <w:rFonts w:ascii="Tahoma" w:eastAsia="宋体" w:hAnsi="Tahoma" w:cs="Tahoma"/>
          <w:kern w:val="0"/>
          <w:sz w:val="28"/>
          <w:szCs w:val="28"/>
        </w:rPr>
        <w:t>提供配套经费。配套经费的拨付程序如下：</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w:t>
      </w:r>
      <w:r w:rsidRPr="0002780A">
        <w:rPr>
          <w:rFonts w:ascii="Tahoma" w:eastAsia="宋体" w:hAnsi="Tahoma" w:cs="Tahoma"/>
          <w:kern w:val="0"/>
          <w:sz w:val="28"/>
          <w:szCs w:val="28"/>
        </w:rPr>
        <w:t>1</w:t>
      </w:r>
      <w:r w:rsidRPr="0002780A">
        <w:rPr>
          <w:rFonts w:ascii="Tahoma" w:eastAsia="宋体" w:hAnsi="Tahoma" w:cs="Tahoma"/>
          <w:kern w:val="0"/>
          <w:sz w:val="28"/>
          <w:szCs w:val="28"/>
        </w:rPr>
        <w:t>）对于按时保质开题者，学校下拨</w:t>
      </w:r>
      <w:r w:rsidRPr="0002780A">
        <w:rPr>
          <w:rFonts w:ascii="Tahoma" w:eastAsia="宋体" w:hAnsi="Tahoma" w:cs="Tahoma"/>
          <w:kern w:val="0"/>
          <w:sz w:val="28"/>
          <w:szCs w:val="28"/>
        </w:rPr>
        <w:t>30</w:t>
      </w:r>
      <w:r w:rsidRPr="0002780A">
        <w:rPr>
          <w:rFonts w:ascii="Tahoma" w:eastAsia="宋体" w:hAnsi="Tahoma" w:cs="Tahoma"/>
          <w:kern w:val="0"/>
          <w:sz w:val="28"/>
          <w:szCs w:val="28"/>
        </w:rPr>
        <w:t>％的配套经费。对于无故推迟开题或不按要求开题者，学校将取消</w:t>
      </w:r>
      <w:r w:rsidRPr="0002780A">
        <w:rPr>
          <w:rFonts w:ascii="Tahoma" w:eastAsia="宋体" w:hAnsi="Tahoma" w:cs="Tahoma"/>
          <w:kern w:val="0"/>
          <w:sz w:val="28"/>
          <w:szCs w:val="28"/>
        </w:rPr>
        <w:t>30</w:t>
      </w:r>
      <w:r w:rsidRPr="0002780A">
        <w:rPr>
          <w:rFonts w:ascii="Tahoma" w:eastAsia="宋体" w:hAnsi="Tahoma" w:cs="Tahoma"/>
          <w:kern w:val="0"/>
          <w:sz w:val="28"/>
          <w:szCs w:val="28"/>
        </w:rPr>
        <w:t>％的配套经费；</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w:t>
      </w:r>
      <w:r w:rsidRPr="0002780A">
        <w:rPr>
          <w:rFonts w:ascii="Tahoma" w:eastAsia="宋体" w:hAnsi="Tahoma" w:cs="Tahoma"/>
          <w:kern w:val="0"/>
          <w:sz w:val="28"/>
          <w:szCs w:val="28"/>
        </w:rPr>
        <w:t>2</w:t>
      </w:r>
      <w:r w:rsidRPr="0002780A">
        <w:rPr>
          <w:rFonts w:ascii="Tahoma" w:eastAsia="宋体" w:hAnsi="Tahoma" w:cs="Tahoma"/>
          <w:kern w:val="0"/>
          <w:sz w:val="28"/>
          <w:szCs w:val="28"/>
        </w:rPr>
        <w:t>）定期报送成果要报并顺利通过国家社会科学基金重大招标项目、教育部重大攻关项目中期检查，学校再下拨</w:t>
      </w:r>
      <w:r w:rsidRPr="0002780A">
        <w:rPr>
          <w:rFonts w:ascii="Tahoma" w:eastAsia="宋体" w:hAnsi="Tahoma" w:cs="Tahoma"/>
          <w:kern w:val="0"/>
          <w:sz w:val="28"/>
          <w:szCs w:val="28"/>
        </w:rPr>
        <w:t>30%</w:t>
      </w:r>
      <w:r w:rsidRPr="0002780A">
        <w:rPr>
          <w:rFonts w:ascii="Tahoma" w:eastAsia="宋体" w:hAnsi="Tahoma" w:cs="Tahoma"/>
          <w:kern w:val="0"/>
          <w:sz w:val="28"/>
          <w:szCs w:val="28"/>
        </w:rPr>
        <w:t>的配套经费；</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w:t>
      </w:r>
      <w:r w:rsidRPr="0002780A">
        <w:rPr>
          <w:rFonts w:ascii="Tahoma" w:eastAsia="宋体" w:hAnsi="Tahoma" w:cs="Tahoma"/>
          <w:kern w:val="0"/>
          <w:sz w:val="28"/>
          <w:szCs w:val="28"/>
        </w:rPr>
        <w:t>3</w:t>
      </w:r>
      <w:r w:rsidRPr="0002780A">
        <w:rPr>
          <w:rFonts w:ascii="Tahoma" w:eastAsia="宋体" w:hAnsi="Tahoma" w:cs="Tahoma"/>
          <w:kern w:val="0"/>
          <w:sz w:val="28"/>
          <w:szCs w:val="28"/>
        </w:rPr>
        <w:t>）课题</w:t>
      </w:r>
      <w:proofErr w:type="gramStart"/>
      <w:r w:rsidRPr="0002780A">
        <w:rPr>
          <w:rFonts w:ascii="Tahoma" w:eastAsia="宋体" w:hAnsi="Tahoma" w:cs="Tahoma"/>
          <w:kern w:val="0"/>
          <w:sz w:val="28"/>
          <w:szCs w:val="28"/>
        </w:rPr>
        <w:t>通过结项鉴定</w:t>
      </w:r>
      <w:proofErr w:type="gramEnd"/>
      <w:r w:rsidRPr="0002780A">
        <w:rPr>
          <w:rFonts w:ascii="Tahoma" w:eastAsia="宋体" w:hAnsi="Tahoma" w:cs="Tahoma"/>
          <w:kern w:val="0"/>
          <w:sz w:val="28"/>
          <w:szCs w:val="28"/>
        </w:rPr>
        <w:t>后，学校下拨</w:t>
      </w:r>
      <w:r w:rsidRPr="0002780A">
        <w:rPr>
          <w:rFonts w:ascii="Tahoma" w:eastAsia="宋体" w:hAnsi="Tahoma" w:cs="Tahoma"/>
          <w:kern w:val="0"/>
          <w:sz w:val="28"/>
          <w:szCs w:val="28"/>
        </w:rPr>
        <w:t>40</w:t>
      </w:r>
      <w:r w:rsidRPr="0002780A">
        <w:rPr>
          <w:rFonts w:ascii="Tahoma" w:eastAsia="宋体" w:hAnsi="Tahoma" w:cs="Tahoma"/>
          <w:kern w:val="0"/>
          <w:sz w:val="28"/>
          <w:szCs w:val="28"/>
        </w:rPr>
        <w:t>％的配套经费，对于未能</w:t>
      </w:r>
      <w:proofErr w:type="gramStart"/>
      <w:r w:rsidRPr="0002780A">
        <w:rPr>
          <w:rFonts w:ascii="Tahoma" w:eastAsia="宋体" w:hAnsi="Tahoma" w:cs="Tahoma"/>
          <w:kern w:val="0"/>
          <w:sz w:val="28"/>
          <w:szCs w:val="28"/>
        </w:rPr>
        <w:t>通过结项鉴定</w:t>
      </w:r>
      <w:proofErr w:type="gramEnd"/>
      <w:r w:rsidRPr="0002780A">
        <w:rPr>
          <w:rFonts w:ascii="Tahoma" w:eastAsia="宋体" w:hAnsi="Tahoma" w:cs="Tahoma"/>
          <w:kern w:val="0"/>
          <w:sz w:val="28"/>
          <w:szCs w:val="28"/>
        </w:rPr>
        <w:t>者，扣除该部分配套经费。</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w:t>
      </w:r>
      <w:r w:rsidRPr="0002780A">
        <w:rPr>
          <w:rFonts w:ascii="Tahoma" w:eastAsia="宋体" w:hAnsi="Tahoma" w:cs="Tahoma"/>
          <w:kern w:val="0"/>
          <w:sz w:val="28"/>
          <w:szCs w:val="28"/>
        </w:rPr>
        <w:t>4</w:t>
      </w:r>
      <w:r w:rsidRPr="0002780A">
        <w:rPr>
          <w:rFonts w:ascii="Tahoma" w:eastAsia="宋体" w:hAnsi="Tahoma" w:cs="Tahoma"/>
          <w:kern w:val="0"/>
          <w:sz w:val="28"/>
          <w:szCs w:val="28"/>
        </w:rPr>
        <w:t>）项目因故中止或项目无故逾期结题的，停止拨付剩余配套经费。</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重大项目配套经费须按财务有关规定使用，不得跨年度使用，要做到专款专用。</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 xml:space="preserve">3. </w:t>
      </w:r>
      <w:r w:rsidRPr="0002780A">
        <w:rPr>
          <w:rFonts w:ascii="Tahoma" w:eastAsia="宋体" w:hAnsi="Tahoma" w:cs="Tahoma"/>
          <w:kern w:val="0"/>
          <w:sz w:val="28"/>
          <w:szCs w:val="28"/>
        </w:rPr>
        <w:t>重大项目首席专家可申请入驻校研究院，其所在学院应根据相关规定为其减免教学工作量，支持召开与课题研究相关的国际性学术会议等鼓励与保障措施，积极支持其顺利开展课题研究工作。</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lastRenderedPageBreak/>
        <w:t>4.</w:t>
      </w:r>
      <w:r w:rsidRPr="0002780A">
        <w:rPr>
          <w:rFonts w:ascii="Tahoma" w:eastAsia="宋体" w:hAnsi="Tahoma" w:cs="Tahoma"/>
          <w:kern w:val="0"/>
          <w:sz w:val="28"/>
          <w:szCs w:val="28"/>
        </w:rPr>
        <w:t>重大项目申报、立项和完成，与学校退休及硕士、博士招生政策不挂钩。重大项目负责人在办理退休手续以后，在项目实施期间（不包括项目延长期间），按照学校人事处特聘教授的有关规定享受特聘教授待遇，在特聘津贴基础上再增加津贴每年伍万元。</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5.</w:t>
      </w:r>
      <w:r w:rsidRPr="0002780A">
        <w:rPr>
          <w:rFonts w:ascii="Tahoma" w:eastAsia="宋体" w:hAnsi="Tahoma" w:cs="Tahoma"/>
          <w:kern w:val="0"/>
          <w:sz w:val="28"/>
          <w:szCs w:val="28"/>
        </w:rPr>
        <w:t>凡首席专家通过本校进行申报的重大课题，申报时其子项目负责人为本校教师的，申报成功后，其子项目按照国家哲学社会科学基金一般项目进行奖励。</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第八条</w:t>
      </w:r>
      <w:r w:rsidRPr="0002780A">
        <w:rPr>
          <w:rFonts w:ascii="Tahoma" w:eastAsia="宋体" w:hAnsi="Tahoma" w:cs="Tahoma"/>
          <w:kern w:val="0"/>
          <w:sz w:val="28"/>
          <w:szCs w:val="28"/>
        </w:rPr>
        <w:t xml:space="preserve">  </w:t>
      </w:r>
      <w:r w:rsidRPr="0002780A">
        <w:rPr>
          <w:rFonts w:ascii="Tahoma" w:eastAsia="宋体" w:hAnsi="Tahoma" w:cs="Tahoma"/>
          <w:kern w:val="0"/>
          <w:sz w:val="28"/>
          <w:szCs w:val="28"/>
        </w:rPr>
        <w:t>本《办法》自公布之日起实行。</w:t>
      </w:r>
      <w:r w:rsidRPr="0002780A">
        <w:rPr>
          <w:rFonts w:ascii="Tahoma" w:eastAsia="宋体" w:hAnsi="Tahoma" w:cs="Tahoma"/>
          <w:kern w:val="0"/>
          <w:sz w:val="28"/>
          <w:szCs w:val="28"/>
        </w:rPr>
        <w:t xml:space="preserve"> </w:t>
      </w:r>
    </w:p>
    <w:p w:rsidR="0002780A" w:rsidRPr="0002780A" w:rsidRDefault="0002780A" w:rsidP="0002780A">
      <w:pPr>
        <w:widowControl/>
        <w:ind w:firstLine="560"/>
        <w:jc w:val="left"/>
        <w:rPr>
          <w:rFonts w:ascii="Tahoma" w:eastAsia="宋体" w:hAnsi="Tahoma" w:cs="Tahoma"/>
          <w:kern w:val="0"/>
          <w:sz w:val="17"/>
          <w:szCs w:val="17"/>
        </w:rPr>
      </w:pPr>
      <w:r w:rsidRPr="0002780A">
        <w:rPr>
          <w:rFonts w:ascii="Tahoma" w:eastAsia="宋体" w:hAnsi="Tahoma" w:cs="Tahoma"/>
          <w:kern w:val="0"/>
          <w:sz w:val="28"/>
          <w:szCs w:val="28"/>
        </w:rPr>
        <w:t>第九条</w:t>
      </w:r>
      <w:r w:rsidRPr="0002780A">
        <w:rPr>
          <w:rFonts w:ascii="Tahoma" w:eastAsia="宋体" w:hAnsi="Tahoma" w:cs="Tahoma"/>
          <w:kern w:val="0"/>
          <w:sz w:val="28"/>
          <w:szCs w:val="28"/>
        </w:rPr>
        <w:t xml:space="preserve">  </w:t>
      </w:r>
      <w:r w:rsidRPr="0002780A">
        <w:rPr>
          <w:rFonts w:ascii="Tahoma" w:eastAsia="宋体" w:hAnsi="Tahoma" w:cs="Tahoma"/>
          <w:kern w:val="0"/>
          <w:sz w:val="28"/>
          <w:szCs w:val="28"/>
        </w:rPr>
        <w:t>本《办法》的解释权和修改权属社科处和人事处。</w:t>
      </w:r>
    </w:p>
    <w:p w:rsidR="0002780A" w:rsidRPr="0002780A" w:rsidRDefault="0002780A" w:rsidP="0002780A">
      <w:pPr>
        <w:widowControl/>
        <w:ind w:firstLine="420"/>
        <w:jc w:val="left"/>
        <w:rPr>
          <w:rFonts w:ascii="Tahoma" w:eastAsia="宋体" w:hAnsi="Tahoma" w:cs="Tahoma"/>
          <w:kern w:val="0"/>
          <w:sz w:val="17"/>
          <w:szCs w:val="17"/>
        </w:rPr>
      </w:pPr>
      <w:r w:rsidRPr="0002780A">
        <w:rPr>
          <w:rFonts w:ascii="Tahoma" w:eastAsia="宋体" w:hAnsi="Tahoma" w:cs="Tahoma"/>
          <w:kern w:val="0"/>
          <w:sz w:val="17"/>
          <w:szCs w:val="17"/>
        </w:rPr>
        <w:t> </w:t>
      </w:r>
    </w:p>
    <w:p w:rsidR="0002780A" w:rsidRPr="0002780A" w:rsidRDefault="0002780A" w:rsidP="0002780A">
      <w:pPr>
        <w:widowControl/>
        <w:ind w:firstLine="420"/>
        <w:jc w:val="left"/>
        <w:rPr>
          <w:rFonts w:ascii="Tahoma" w:eastAsia="宋体" w:hAnsi="Tahoma" w:cs="Tahoma"/>
          <w:kern w:val="0"/>
          <w:sz w:val="17"/>
          <w:szCs w:val="17"/>
        </w:rPr>
      </w:pPr>
      <w:r w:rsidRPr="0002780A">
        <w:rPr>
          <w:rFonts w:ascii="Tahoma" w:eastAsia="宋体" w:hAnsi="Tahoma" w:cs="Tahoma"/>
          <w:kern w:val="0"/>
          <w:sz w:val="17"/>
          <w:szCs w:val="17"/>
        </w:rPr>
        <w:t> </w:t>
      </w:r>
    </w:p>
    <w:p w:rsidR="0002780A" w:rsidRPr="0002780A" w:rsidRDefault="0002780A" w:rsidP="0002780A">
      <w:pPr>
        <w:widowControl/>
        <w:ind w:firstLine="420"/>
        <w:jc w:val="right"/>
        <w:rPr>
          <w:rFonts w:ascii="Tahoma" w:eastAsia="宋体" w:hAnsi="Tahoma" w:cs="Tahoma"/>
          <w:kern w:val="0"/>
          <w:sz w:val="17"/>
          <w:szCs w:val="17"/>
        </w:rPr>
      </w:pPr>
      <w:r w:rsidRPr="0002780A">
        <w:rPr>
          <w:rFonts w:ascii="Tahoma" w:eastAsia="宋体" w:hAnsi="Tahoma" w:cs="Tahoma"/>
          <w:kern w:val="0"/>
          <w:sz w:val="17"/>
          <w:szCs w:val="17"/>
        </w:rPr>
        <w:t>                                              </w:t>
      </w:r>
      <w:r w:rsidRPr="0002780A">
        <w:rPr>
          <w:rFonts w:ascii="Tahoma" w:eastAsia="宋体" w:hAnsi="Tahoma" w:cs="Tahoma"/>
          <w:kern w:val="0"/>
          <w:sz w:val="28"/>
          <w:szCs w:val="28"/>
        </w:rPr>
        <w:t>上海师范大学</w:t>
      </w:r>
    </w:p>
    <w:p w:rsidR="00760462" w:rsidRDefault="0002780A" w:rsidP="0002780A">
      <w:r w:rsidRPr="0002780A">
        <w:rPr>
          <w:rFonts w:ascii="Tahoma" w:eastAsia="宋体" w:hAnsi="Tahoma" w:cs="Tahoma"/>
          <w:kern w:val="0"/>
          <w:sz w:val="28"/>
          <w:szCs w:val="28"/>
        </w:rPr>
        <w:t xml:space="preserve">                                     </w:t>
      </w:r>
      <w:r>
        <w:rPr>
          <w:rFonts w:ascii="Tahoma" w:eastAsia="宋体" w:hAnsi="Tahoma" w:cs="Tahoma"/>
          <w:kern w:val="0"/>
          <w:sz w:val="28"/>
          <w:szCs w:val="28"/>
        </w:rPr>
        <w:tab/>
      </w:r>
      <w:r>
        <w:rPr>
          <w:rFonts w:ascii="Tahoma" w:eastAsia="宋体" w:hAnsi="Tahoma" w:cs="Tahoma"/>
          <w:kern w:val="0"/>
          <w:sz w:val="28"/>
          <w:szCs w:val="28"/>
        </w:rPr>
        <w:tab/>
      </w:r>
      <w:r>
        <w:rPr>
          <w:rFonts w:ascii="Tahoma" w:eastAsia="宋体" w:hAnsi="Tahoma" w:cs="Tahoma"/>
          <w:kern w:val="0"/>
          <w:sz w:val="28"/>
          <w:szCs w:val="28"/>
        </w:rPr>
        <w:tab/>
      </w:r>
      <w:r>
        <w:rPr>
          <w:rFonts w:ascii="Tahoma" w:eastAsia="宋体" w:hAnsi="Tahoma" w:cs="Tahoma"/>
          <w:kern w:val="0"/>
          <w:sz w:val="28"/>
          <w:szCs w:val="28"/>
        </w:rPr>
        <w:tab/>
      </w:r>
      <w:r>
        <w:rPr>
          <w:rFonts w:ascii="Tahoma" w:eastAsia="宋体" w:hAnsi="Tahoma" w:cs="Tahoma"/>
          <w:kern w:val="0"/>
          <w:sz w:val="28"/>
          <w:szCs w:val="28"/>
        </w:rPr>
        <w:tab/>
      </w:r>
      <w:r>
        <w:rPr>
          <w:rFonts w:ascii="Tahoma" w:eastAsia="宋体" w:hAnsi="Tahoma" w:cs="Tahoma"/>
          <w:kern w:val="0"/>
          <w:sz w:val="28"/>
          <w:szCs w:val="28"/>
        </w:rPr>
        <w:tab/>
      </w:r>
      <w:r>
        <w:rPr>
          <w:rFonts w:ascii="Tahoma" w:eastAsia="宋体" w:hAnsi="Tahoma" w:cs="Tahoma"/>
          <w:kern w:val="0"/>
          <w:sz w:val="28"/>
          <w:szCs w:val="28"/>
        </w:rPr>
        <w:tab/>
      </w:r>
      <w:r>
        <w:rPr>
          <w:rFonts w:ascii="Tahoma" w:eastAsia="宋体" w:hAnsi="Tahoma" w:cs="Tahoma"/>
          <w:kern w:val="0"/>
          <w:sz w:val="28"/>
          <w:szCs w:val="28"/>
        </w:rPr>
        <w:tab/>
      </w:r>
      <w:r w:rsidRPr="0002780A">
        <w:rPr>
          <w:rFonts w:ascii="Tahoma" w:eastAsia="宋体" w:hAnsi="Tahoma" w:cs="Tahoma"/>
          <w:kern w:val="0"/>
          <w:sz w:val="28"/>
          <w:szCs w:val="28"/>
        </w:rPr>
        <w:t>2013</w:t>
      </w:r>
      <w:r w:rsidRPr="0002780A">
        <w:rPr>
          <w:rFonts w:ascii="Tahoma" w:eastAsia="宋体" w:hAnsi="Tahoma" w:cs="Tahoma"/>
          <w:kern w:val="0"/>
          <w:sz w:val="28"/>
          <w:szCs w:val="28"/>
        </w:rPr>
        <w:t>年</w:t>
      </w:r>
      <w:r w:rsidRPr="0002780A">
        <w:rPr>
          <w:rFonts w:ascii="Tahoma" w:eastAsia="宋体" w:hAnsi="Tahoma" w:cs="Tahoma"/>
          <w:kern w:val="0"/>
          <w:sz w:val="28"/>
          <w:szCs w:val="28"/>
        </w:rPr>
        <w:t>9</w:t>
      </w:r>
      <w:r w:rsidRPr="0002780A">
        <w:rPr>
          <w:rFonts w:ascii="Tahoma" w:eastAsia="宋体" w:hAnsi="Tahoma" w:cs="Tahoma"/>
          <w:kern w:val="0"/>
          <w:sz w:val="28"/>
          <w:szCs w:val="28"/>
        </w:rPr>
        <w:t>月</w:t>
      </w:r>
      <w:r w:rsidRPr="0002780A">
        <w:rPr>
          <w:rFonts w:ascii="Tahoma" w:eastAsia="宋体" w:hAnsi="Tahoma" w:cs="Tahoma"/>
          <w:kern w:val="0"/>
          <w:sz w:val="28"/>
          <w:szCs w:val="28"/>
        </w:rPr>
        <w:t>9</w:t>
      </w:r>
      <w:r w:rsidRPr="0002780A">
        <w:rPr>
          <w:rFonts w:ascii="Tahoma" w:eastAsia="宋体" w:hAnsi="Tahoma" w:cs="Tahoma"/>
          <w:kern w:val="0"/>
          <w:sz w:val="28"/>
          <w:szCs w:val="28"/>
        </w:rPr>
        <w:t>日</w:t>
      </w:r>
    </w:p>
    <w:sectPr w:rsidR="007604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0A"/>
    <w:rsid w:val="0002780A"/>
    <w:rsid w:val="0076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7C43"/>
  <w15:chartTrackingRefBased/>
  <w15:docId w15:val="{93630199-6B93-40EE-A7F4-5EC294A9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7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788">
      <w:bodyDiv w:val="1"/>
      <w:marLeft w:val="0"/>
      <w:marRight w:val="0"/>
      <w:marTop w:val="0"/>
      <w:marBottom w:val="0"/>
      <w:divBdr>
        <w:top w:val="none" w:sz="0" w:space="0" w:color="auto"/>
        <w:left w:val="none" w:sz="0" w:space="0" w:color="auto"/>
        <w:bottom w:val="none" w:sz="0" w:space="0" w:color="auto"/>
        <w:right w:val="none" w:sz="0" w:space="0" w:color="auto"/>
      </w:divBdr>
      <w:divsChild>
        <w:div w:id="79105777">
          <w:marLeft w:val="0"/>
          <w:marRight w:val="0"/>
          <w:marTop w:val="0"/>
          <w:marBottom w:val="0"/>
          <w:divBdr>
            <w:top w:val="none" w:sz="0" w:space="0" w:color="auto"/>
            <w:left w:val="none" w:sz="0" w:space="0" w:color="auto"/>
            <w:bottom w:val="none" w:sz="0" w:space="0" w:color="auto"/>
            <w:right w:val="none" w:sz="0" w:space="0" w:color="auto"/>
          </w:divBdr>
          <w:divsChild>
            <w:div w:id="68428425">
              <w:marLeft w:val="0"/>
              <w:marRight w:val="0"/>
              <w:marTop w:val="0"/>
              <w:marBottom w:val="0"/>
              <w:divBdr>
                <w:top w:val="none" w:sz="0" w:space="0" w:color="auto"/>
                <w:left w:val="none" w:sz="0" w:space="0" w:color="auto"/>
                <w:bottom w:val="none" w:sz="0" w:space="0" w:color="auto"/>
                <w:right w:val="none" w:sz="0" w:space="0" w:color="auto"/>
              </w:divBdr>
              <w:divsChild>
                <w:div w:id="1451390444">
                  <w:marLeft w:val="0"/>
                  <w:marRight w:val="0"/>
                  <w:marTop w:val="0"/>
                  <w:marBottom w:val="0"/>
                  <w:divBdr>
                    <w:top w:val="none" w:sz="0" w:space="0" w:color="auto"/>
                    <w:left w:val="none" w:sz="0" w:space="0" w:color="auto"/>
                    <w:bottom w:val="none" w:sz="0" w:space="0" w:color="auto"/>
                    <w:right w:val="none" w:sz="0" w:space="0" w:color="auto"/>
                  </w:divBdr>
                  <w:divsChild>
                    <w:div w:id="1504928493">
                      <w:marLeft w:val="0"/>
                      <w:marRight w:val="0"/>
                      <w:marTop w:val="0"/>
                      <w:marBottom w:val="0"/>
                      <w:divBdr>
                        <w:top w:val="none" w:sz="0" w:space="0" w:color="auto"/>
                        <w:left w:val="none" w:sz="0" w:space="0" w:color="auto"/>
                        <w:bottom w:val="none" w:sz="0" w:space="0" w:color="auto"/>
                        <w:right w:val="none" w:sz="0" w:space="0" w:color="auto"/>
                      </w:divBdr>
                      <w:divsChild>
                        <w:div w:id="264651842">
                          <w:marLeft w:val="0"/>
                          <w:marRight w:val="0"/>
                          <w:marTop w:val="0"/>
                          <w:marBottom w:val="0"/>
                          <w:divBdr>
                            <w:top w:val="none" w:sz="0" w:space="0" w:color="auto"/>
                            <w:left w:val="none" w:sz="0" w:space="0" w:color="auto"/>
                            <w:bottom w:val="none" w:sz="0" w:space="0" w:color="auto"/>
                            <w:right w:val="none" w:sz="0" w:space="0" w:color="auto"/>
                          </w:divBdr>
                        </w:div>
                        <w:div w:id="1038240177">
                          <w:marLeft w:val="0"/>
                          <w:marRight w:val="0"/>
                          <w:marTop w:val="0"/>
                          <w:marBottom w:val="0"/>
                          <w:divBdr>
                            <w:top w:val="none" w:sz="0" w:space="0" w:color="auto"/>
                            <w:left w:val="none" w:sz="0" w:space="0" w:color="auto"/>
                            <w:bottom w:val="none" w:sz="0" w:space="0" w:color="auto"/>
                            <w:right w:val="none" w:sz="0" w:space="0" w:color="auto"/>
                          </w:divBdr>
                        </w:div>
                        <w:div w:id="590627463">
                          <w:marLeft w:val="0"/>
                          <w:marRight w:val="0"/>
                          <w:marTop w:val="0"/>
                          <w:marBottom w:val="0"/>
                          <w:divBdr>
                            <w:top w:val="none" w:sz="0" w:space="0" w:color="auto"/>
                            <w:left w:val="none" w:sz="0" w:space="0" w:color="auto"/>
                            <w:bottom w:val="none" w:sz="0" w:space="0" w:color="auto"/>
                            <w:right w:val="none" w:sz="0" w:space="0" w:color="auto"/>
                          </w:divBdr>
                        </w:div>
                        <w:div w:id="1632705175">
                          <w:marLeft w:val="0"/>
                          <w:marRight w:val="0"/>
                          <w:marTop w:val="0"/>
                          <w:marBottom w:val="0"/>
                          <w:divBdr>
                            <w:top w:val="none" w:sz="0" w:space="0" w:color="auto"/>
                            <w:left w:val="none" w:sz="0" w:space="0" w:color="auto"/>
                            <w:bottom w:val="none" w:sz="0" w:space="0" w:color="auto"/>
                            <w:right w:val="none" w:sz="0" w:space="0" w:color="auto"/>
                          </w:divBdr>
                        </w:div>
                        <w:div w:id="399980999">
                          <w:marLeft w:val="0"/>
                          <w:marRight w:val="0"/>
                          <w:marTop w:val="0"/>
                          <w:marBottom w:val="0"/>
                          <w:divBdr>
                            <w:top w:val="none" w:sz="0" w:space="0" w:color="auto"/>
                            <w:left w:val="none" w:sz="0" w:space="0" w:color="auto"/>
                            <w:bottom w:val="none" w:sz="0" w:space="0" w:color="auto"/>
                            <w:right w:val="none" w:sz="0" w:space="0" w:color="auto"/>
                          </w:divBdr>
                        </w:div>
                        <w:div w:id="648630987">
                          <w:marLeft w:val="0"/>
                          <w:marRight w:val="0"/>
                          <w:marTop w:val="0"/>
                          <w:marBottom w:val="0"/>
                          <w:divBdr>
                            <w:top w:val="none" w:sz="0" w:space="0" w:color="auto"/>
                            <w:left w:val="none" w:sz="0" w:space="0" w:color="auto"/>
                            <w:bottom w:val="none" w:sz="0" w:space="0" w:color="auto"/>
                            <w:right w:val="none" w:sz="0" w:space="0" w:color="auto"/>
                          </w:divBdr>
                        </w:div>
                        <w:div w:id="1360426941">
                          <w:marLeft w:val="0"/>
                          <w:marRight w:val="0"/>
                          <w:marTop w:val="0"/>
                          <w:marBottom w:val="0"/>
                          <w:divBdr>
                            <w:top w:val="none" w:sz="0" w:space="0" w:color="auto"/>
                            <w:left w:val="none" w:sz="0" w:space="0" w:color="auto"/>
                            <w:bottom w:val="none" w:sz="0" w:space="0" w:color="auto"/>
                            <w:right w:val="none" w:sz="0" w:space="0" w:color="auto"/>
                          </w:divBdr>
                        </w:div>
                        <w:div w:id="1106579191">
                          <w:marLeft w:val="0"/>
                          <w:marRight w:val="0"/>
                          <w:marTop w:val="0"/>
                          <w:marBottom w:val="0"/>
                          <w:divBdr>
                            <w:top w:val="none" w:sz="0" w:space="0" w:color="auto"/>
                            <w:left w:val="none" w:sz="0" w:space="0" w:color="auto"/>
                            <w:bottom w:val="none" w:sz="0" w:space="0" w:color="auto"/>
                            <w:right w:val="none" w:sz="0" w:space="0" w:color="auto"/>
                          </w:divBdr>
                        </w:div>
                        <w:div w:id="367529373">
                          <w:marLeft w:val="0"/>
                          <w:marRight w:val="0"/>
                          <w:marTop w:val="0"/>
                          <w:marBottom w:val="0"/>
                          <w:divBdr>
                            <w:top w:val="none" w:sz="0" w:space="0" w:color="auto"/>
                            <w:left w:val="none" w:sz="0" w:space="0" w:color="auto"/>
                            <w:bottom w:val="none" w:sz="0" w:space="0" w:color="auto"/>
                            <w:right w:val="none" w:sz="0" w:space="0" w:color="auto"/>
                          </w:divBdr>
                        </w:div>
                        <w:div w:id="1468472520">
                          <w:marLeft w:val="0"/>
                          <w:marRight w:val="0"/>
                          <w:marTop w:val="0"/>
                          <w:marBottom w:val="0"/>
                          <w:divBdr>
                            <w:top w:val="none" w:sz="0" w:space="0" w:color="auto"/>
                            <w:left w:val="none" w:sz="0" w:space="0" w:color="auto"/>
                            <w:bottom w:val="none" w:sz="0" w:space="0" w:color="auto"/>
                            <w:right w:val="none" w:sz="0" w:space="0" w:color="auto"/>
                          </w:divBdr>
                        </w:div>
                        <w:div w:id="685326149">
                          <w:marLeft w:val="0"/>
                          <w:marRight w:val="0"/>
                          <w:marTop w:val="0"/>
                          <w:marBottom w:val="0"/>
                          <w:divBdr>
                            <w:top w:val="none" w:sz="0" w:space="0" w:color="auto"/>
                            <w:left w:val="none" w:sz="0" w:space="0" w:color="auto"/>
                            <w:bottom w:val="none" w:sz="0" w:space="0" w:color="auto"/>
                            <w:right w:val="none" w:sz="0" w:space="0" w:color="auto"/>
                          </w:divBdr>
                        </w:div>
                        <w:div w:id="1563323858">
                          <w:marLeft w:val="0"/>
                          <w:marRight w:val="0"/>
                          <w:marTop w:val="0"/>
                          <w:marBottom w:val="0"/>
                          <w:divBdr>
                            <w:top w:val="none" w:sz="0" w:space="0" w:color="auto"/>
                            <w:left w:val="none" w:sz="0" w:space="0" w:color="auto"/>
                            <w:bottom w:val="none" w:sz="0" w:space="0" w:color="auto"/>
                            <w:right w:val="none" w:sz="0" w:space="0" w:color="auto"/>
                          </w:divBdr>
                        </w:div>
                        <w:div w:id="979571914">
                          <w:marLeft w:val="0"/>
                          <w:marRight w:val="0"/>
                          <w:marTop w:val="0"/>
                          <w:marBottom w:val="0"/>
                          <w:divBdr>
                            <w:top w:val="none" w:sz="0" w:space="0" w:color="auto"/>
                            <w:left w:val="none" w:sz="0" w:space="0" w:color="auto"/>
                            <w:bottom w:val="none" w:sz="0" w:space="0" w:color="auto"/>
                            <w:right w:val="none" w:sz="0" w:space="0" w:color="auto"/>
                          </w:divBdr>
                        </w:div>
                        <w:div w:id="456602005">
                          <w:marLeft w:val="0"/>
                          <w:marRight w:val="0"/>
                          <w:marTop w:val="0"/>
                          <w:marBottom w:val="0"/>
                          <w:divBdr>
                            <w:top w:val="none" w:sz="0" w:space="0" w:color="auto"/>
                            <w:left w:val="none" w:sz="0" w:space="0" w:color="auto"/>
                            <w:bottom w:val="none" w:sz="0" w:space="0" w:color="auto"/>
                            <w:right w:val="none" w:sz="0" w:space="0" w:color="auto"/>
                          </w:divBdr>
                        </w:div>
                        <w:div w:id="789006793">
                          <w:marLeft w:val="0"/>
                          <w:marRight w:val="0"/>
                          <w:marTop w:val="0"/>
                          <w:marBottom w:val="0"/>
                          <w:divBdr>
                            <w:top w:val="none" w:sz="0" w:space="0" w:color="auto"/>
                            <w:left w:val="none" w:sz="0" w:space="0" w:color="auto"/>
                            <w:bottom w:val="none" w:sz="0" w:space="0" w:color="auto"/>
                            <w:right w:val="none" w:sz="0" w:space="0" w:color="auto"/>
                          </w:divBdr>
                        </w:div>
                        <w:div w:id="1206523515">
                          <w:marLeft w:val="0"/>
                          <w:marRight w:val="0"/>
                          <w:marTop w:val="0"/>
                          <w:marBottom w:val="0"/>
                          <w:divBdr>
                            <w:top w:val="none" w:sz="0" w:space="0" w:color="auto"/>
                            <w:left w:val="none" w:sz="0" w:space="0" w:color="auto"/>
                            <w:bottom w:val="none" w:sz="0" w:space="0" w:color="auto"/>
                            <w:right w:val="none" w:sz="0" w:space="0" w:color="auto"/>
                          </w:divBdr>
                        </w:div>
                        <w:div w:id="239675335">
                          <w:marLeft w:val="0"/>
                          <w:marRight w:val="0"/>
                          <w:marTop w:val="0"/>
                          <w:marBottom w:val="0"/>
                          <w:divBdr>
                            <w:top w:val="none" w:sz="0" w:space="0" w:color="auto"/>
                            <w:left w:val="none" w:sz="0" w:space="0" w:color="auto"/>
                            <w:bottom w:val="none" w:sz="0" w:space="0" w:color="auto"/>
                            <w:right w:val="none" w:sz="0" w:space="0" w:color="auto"/>
                          </w:divBdr>
                        </w:div>
                        <w:div w:id="546382161">
                          <w:marLeft w:val="0"/>
                          <w:marRight w:val="0"/>
                          <w:marTop w:val="0"/>
                          <w:marBottom w:val="0"/>
                          <w:divBdr>
                            <w:top w:val="none" w:sz="0" w:space="0" w:color="auto"/>
                            <w:left w:val="none" w:sz="0" w:space="0" w:color="auto"/>
                            <w:bottom w:val="none" w:sz="0" w:space="0" w:color="auto"/>
                            <w:right w:val="none" w:sz="0" w:space="0" w:color="auto"/>
                          </w:divBdr>
                        </w:div>
                        <w:div w:id="712466968">
                          <w:marLeft w:val="0"/>
                          <w:marRight w:val="0"/>
                          <w:marTop w:val="0"/>
                          <w:marBottom w:val="0"/>
                          <w:divBdr>
                            <w:top w:val="none" w:sz="0" w:space="0" w:color="auto"/>
                            <w:left w:val="none" w:sz="0" w:space="0" w:color="auto"/>
                            <w:bottom w:val="none" w:sz="0" w:space="0" w:color="auto"/>
                            <w:right w:val="none" w:sz="0" w:space="0" w:color="auto"/>
                          </w:divBdr>
                        </w:div>
                        <w:div w:id="1334531672">
                          <w:marLeft w:val="0"/>
                          <w:marRight w:val="0"/>
                          <w:marTop w:val="0"/>
                          <w:marBottom w:val="0"/>
                          <w:divBdr>
                            <w:top w:val="none" w:sz="0" w:space="0" w:color="auto"/>
                            <w:left w:val="none" w:sz="0" w:space="0" w:color="auto"/>
                            <w:bottom w:val="none" w:sz="0" w:space="0" w:color="auto"/>
                            <w:right w:val="none" w:sz="0" w:space="0" w:color="auto"/>
                          </w:divBdr>
                        </w:div>
                        <w:div w:id="347954522">
                          <w:marLeft w:val="0"/>
                          <w:marRight w:val="0"/>
                          <w:marTop w:val="0"/>
                          <w:marBottom w:val="0"/>
                          <w:divBdr>
                            <w:top w:val="none" w:sz="0" w:space="0" w:color="auto"/>
                            <w:left w:val="none" w:sz="0" w:space="0" w:color="auto"/>
                            <w:bottom w:val="none" w:sz="0" w:space="0" w:color="auto"/>
                            <w:right w:val="none" w:sz="0" w:space="0" w:color="auto"/>
                          </w:divBdr>
                        </w:div>
                        <w:div w:id="1647855733">
                          <w:marLeft w:val="0"/>
                          <w:marRight w:val="0"/>
                          <w:marTop w:val="0"/>
                          <w:marBottom w:val="0"/>
                          <w:divBdr>
                            <w:top w:val="none" w:sz="0" w:space="0" w:color="auto"/>
                            <w:left w:val="none" w:sz="0" w:space="0" w:color="auto"/>
                            <w:bottom w:val="none" w:sz="0" w:space="0" w:color="auto"/>
                            <w:right w:val="none" w:sz="0" w:space="0" w:color="auto"/>
                          </w:divBdr>
                        </w:div>
                        <w:div w:id="1216238387">
                          <w:marLeft w:val="0"/>
                          <w:marRight w:val="0"/>
                          <w:marTop w:val="0"/>
                          <w:marBottom w:val="0"/>
                          <w:divBdr>
                            <w:top w:val="none" w:sz="0" w:space="0" w:color="auto"/>
                            <w:left w:val="none" w:sz="0" w:space="0" w:color="auto"/>
                            <w:bottom w:val="none" w:sz="0" w:space="0" w:color="auto"/>
                            <w:right w:val="none" w:sz="0" w:space="0" w:color="auto"/>
                          </w:divBdr>
                        </w:div>
                        <w:div w:id="2095278236">
                          <w:marLeft w:val="0"/>
                          <w:marRight w:val="0"/>
                          <w:marTop w:val="0"/>
                          <w:marBottom w:val="0"/>
                          <w:divBdr>
                            <w:top w:val="none" w:sz="0" w:space="0" w:color="auto"/>
                            <w:left w:val="none" w:sz="0" w:space="0" w:color="auto"/>
                            <w:bottom w:val="none" w:sz="0" w:space="0" w:color="auto"/>
                            <w:right w:val="none" w:sz="0" w:space="0" w:color="auto"/>
                          </w:divBdr>
                        </w:div>
                        <w:div w:id="1348484351">
                          <w:marLeft w:val="0"/>
                          <w:marRight w:val="0"/>
                          <w:marTop w:val="0"/>
                          <w:marBottom w:val="0"/>
                          <w:divBdr>
                            <w:top w:val="none" w:sz="0" w:space="0" w:color="auto"/>
                            <w:left w:val="none" w:sz="0" w:space="0" w:color="auto"/>
                            <w:bottom w:val="none" w:sz="0" w:space="0" w:color="auto"/>
                            <w:right w:val="none" w:sz="0" w:space="0" w:color="auto"/>
                          </w:divBdr>
                        </w:div>
                        <w:div w:id="656571860">
                          <w:marLeft w:val="0"/>
                          <w:marRight w:val="0"/>
                          <w:marTop w:val="0"/>
                          <w:marBottom w:val="0"/>
                          <w:divBdr>
                            <w:top w:val="none" w:sz="0" w:space="0" w:color="auto"/>
                            <w:left w:val="none" w:sz="0" w:space="0" w:color="auto"/>
                            <w:bottom w:val="none" w:sz="0" w:space="0" w:color="auto"/>
                            <w:right w:val="none" w:sz="0" w:space="0" w:color="auto"/>
                          </w:divBdr>
                        </w:div>
                        <w:div w:id="1703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274</Words>
  <Characters>1566</Characters>
  <Application>Microsoft Office Word</Application>
  <DocSecurity>0</DocSecurity>
  <Lines>13</Lines>
  <Paragraphs>3</Paragraphs>
  <ScaleCrop>false</ScaleCrop>
  <Company>Microsoft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2017-01-09T03:15:00Z</dcterms:created>
  <dcterms:modified xsi:type="dcterms:W3CDTF">2017-01-09T03:16:00Z</dcterms:modified>
</cp:coreProperties>
</file>