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项目一：</w:t>
      </w:r>
    </w:p>
    <w:p>
      <w:pPr>
        <w:keepNext w:val="0"/>
        <w:keepLines w:val="0"/>
        <w:pageBreakBefore w:val="0"/>
        <w:kinsoku/>
        <w:wordWrap/>
        <w:overflowPunct/>
        <w:topLinePunct w:val="0"/>
        <w:bidi w:val="0"/>
        <w:adjustRightInd w:val="0"/>
        <w:snapToGrid w:val="0"/>
        <w:spacing w:line="360" w:lineRule="auto"/>
        <w:ind w:right="0" w:rightChars="0"/>
        <w:textAlignment w:val="auto"/>
        <w:outlineLvl w:val="9"/>
        <w:rPr>
          <w:rFonts w:hint="eastAsia" w:ascii="宋体" w:hAnsi="宋体" w:eastAsia="宋体" w:cs="宋体"/>
          <w:sz w:val="24"/>
          <w:szCs w:val="24"/>
        </w:rPr>
      </w:pPr>
      <w:r>
        <w:rPr>
          <w:rFonts w:hint="eastAsia" w:ascii="宋体" w:hAnsi="宋体" w:eastAsia="宋体" w:cs="宋体"/>
          <w:b/>
          <w:bCs/>
          <w:sz w:val="24"/>
          <w:szCs w:val="24"/>
        </w:rPr>
        <w:t xml:space="preserve">1 </w:t>
      </w:r>
      <w:r>
        <w:rPr>
          <w:rFonts w:hint="eastAsia" w:ascii="宋体" w:hAnsi="宋体" w:eastAsia="宋体" w:cs="宋体"/>
          <w:b/>
          <w:sz w:val="24"/>
          <w:szCs w:val="24"/>
        </w:rPr>
        <w:t>项目名称</w:t>
      </w:r>
      <w:r>
        <w:rPr>
          <w:rFonts w:hint="eastAsia" w:ascii="宋体" w:hAnsi="宋体" w:eastAsia="宋体" w:cs="宋体"/>
          <w:sz w:val="24"/>
          <w:szCs w:val="24"/>
        </w:rPr>
        <w:t>：环境友好多吸附位点分子自组装及其金属缓蚀性能研究</w:t>
      </w:r>
    </w:p>
    <w:p>
      <w:pPr>
        <w:keepNext w:val="0"/>
        <w:keepLines w:val="0"/>
        <w:pageBreakBefore w:val="0"/>
        <w:kinsoku/>
        <w:wordWrap/>
        <w:overflowPunct/>
        <w:topLinePunct w:val="0"/>
        <w:bidi w:val="0"/>
        <w:adjustRightInd w:val="0"/>
        <w:snapToGrid w:val="0"/>
        <w:spacing w:line="360" w:lineRule="auto"/>
        <w:ind w:right="0" w:rightChars="0"/>
        <w:textAlignment w:val="auto"/>
        <w:outlineLvl w:val="9"/>
        <w:rPr>
          <w:rFonts w:hint="eastAsia" w:ascii="宋体" w:hAnsi="宋体" w:eastAsia="宋体" w:cs="宋体"/>
          <w:b/>
          <w:sz w:val="24"/>
          <w:szCs w:val="24"/>
        </w:rPr>
      </w:pPr>
      <w:r>
        <w:rPr>
          <w:rFonts w:hint="eastAsia" w:ascii="宋体" w:hAnsi="宋体" w:eastAsia="宋体" w:cs="宋体"/>
          <w:b/>
          <w:sz w:val="24"/>
          <w:szCs w:val="24"/>
        </w:rPr>
        <w:t xml:space="preserve">2 项目简介： </w:t>
      </w:r>
    </w:p>
    <w:p>
      <w:pPr>
        <w:keepNext w:val="0"/>
        <w:keepLines w:val="0"/>
        <w:pageBreakBefore w:val="0"/>
        <w:widowControl/>
        <w:kinsoku/>
        <w:wordWrap/>
        <w:overflowPunct/>
        <w:topLinePunct w:val="0"/>
        <w:autoSpaceDE w:val="0"/>
        <w:autoSpaceDN w:val="0"/>
        <w:bidi w:val="0"/>
        <w:adjustRightInd w:val="0"/>
        <w:snapToGrid w:val="0"/>
        <w:spacing w:line="360" w:lineRule="auto"/>
        <w:ind w:right="0" w:rightChars="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sz w:val="24"/>
          <w:szCs w:val="24"/>
        </w:rPr>
        <w:t>本次申报的项目归属于光谱电化学技术领域，所属学科为物理化学，项目的主要科学研究内容是构建原位光谱电化学技术与量子化学分子模拟结合的系统研究体系，考察环境友好且具多吸附位点分子在金属表面的可控自组装，揭示不同单层分子膜结构及其对金属缓蚀性能。</w:t>
      </w:r>
      <w:r>
        <w:rPr>
          <w:rFonts w:hint="eastAsia" w:ascii="宋体" w:hAnsi="宋体" w:eastAsia="宋体" w:cs="宋体"/>
          <w:kern w:val="0"/>
          <w:sz w:val="24"/>
          <w:szCs w:val="24"/>
        </w:rPr>
        <w:t>据统计，全世界每年金属腐蚀超1 亿吨，造成的经济损失约占国民生产总值的3.5％～4.2％，超过年各项大灾（火灾、风灾及地震等）损失的总和。在我国，每年腐蚀损失也超5000亿元，占当年国民生产总值的5%，近5 年来由于环境恶化，年腐蚀损失趋势加大。因此，科学而系统地开展金属高效缓蚀方法、技术和机理的研究，对国民生活与国民经济建设有重大的现实意义。目前，在金属表面耐腐蚀处理工艺中一些常用试剂如苯并三唑、咪唑和铬酸盐等虽已工业成功应用，经济效益好，但多数毒性高会产生次生污染危及人类健康与安全，比如铬酸盐类是强致癌物。研究和发展对人和环境友好，性能优异的新型缓蚀试剂是工业界和科学界共同关心的课题。</w:t>
      </w:r>
    </w:p>
    <w:p>
      <w:pPr>
        <w:keepNext w:val="0"/>
        <w:keepLines w:val="0"/>
        <w:pageBreakBefore w:val="0"/>
        <w:widowControl/>
        <w:kinsoku/>
        <w:wordWrap/>
        <w:overflowPunct/>
        <w:topLinePunct w:val="0"/>
        <w:autoSpaceDE w:val="0"/>
        <w:autoSpaceDN w:val="0"/>
        <w:bidi w:val="0"/>
        <w:adjustRightInd w:val="0"/>
        <w:snapToGrid w:val="0"/>
        <w:spacing w:line="360" w:lineRule="auto"/>
        <w:ind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本项目将表面增强拉曼光散射技术和电化学分析技术，结合其它表面分析技术如XPS，电镜等和分子模拟方法，系统全面地观察多种环境友好分子在金属表面自组装成膜行为，分析成膜吸附方式，解析膜结构和缓蚀性能关系，揭示缓蚀机理。创新点是（1）构建了缓蚀机理分析的系统分析方法，（2）系统研究了一批低廉而环境友好金属缓蚀剂，（3）以分子自组装技术高效构筑均一致密的金属保护层。该项目成果为工业化应用提供了理论指导。</w:t>
      </w:r>
      <w:r>
        <w:rPr>
          <w:rFonts w:hint="eastAsia" w:ascii="宋体" w:hAnsi="宋体" w:eastAsia="宋体" w:cs="宋体"/>
          <w:sz w:val="24"/>
          <w:szCs w:val="24"/>
        </w:rPr>
        <w:t>以植酸为例，作为一种植物提取物，来源丰富、经济成本低、绿色环保，毒性低于食盐，其与金属有很强的螯合作用，能通过自组装技术在金属表面成膜。通过拉曼光谱来研究组装时间、浓度、pH值对成膜结构的影响，优化和筛选出最优的缓蚀膜结构和成膜条件。本项目除研究植酸及植酸盐类分子外， 还系统研究了氨基酸类和咪唑类分子。通过研究证明，在优化自组装成膜条件下，这些环境友好分子对金属缓蚀效率甚至传统的缓蚀剂，可高达92％。这些研究工作得到了上海市自然科学基金重点（</w:t>
      </w:r>
      <w:r>
        <w:rPr>
          <w:rFonts w:hint="eastAsia" w:ascii="宋体" w:hAnsi="宋体" w:eastAsia="宋体" w:cs="宋体"/>
          <w:color w:val="231F20"/>
          <w:kern w:val="0"/>
          <w:sz w:val="24"/>
          <w:szCs w:val="24"/>
        </w:rPr>
        <w:t>06JC14094）</w:t>
      </w:r>
      <w:r>
        <w:rPr>
          <w:rFonts w:hint="eastAsia" w:ascii="宋体" w:hAnsi="宋体" w:eastAsia="宋体" w:cs="宋体"/>
          <w:sz w:val="24"/>
          <w:szCs w:val="24"/>
        </w:rPr>
        <w:t>，国家自然科学基金委面上基金（</w:t>
      </w:r>
      <w:r>
        <w:rPr>
          <w:rFonts w:hint="eastAsia" w:ascii="宋体" w:hAnsi="宋体" w:eastAsia="宋体" w:cs="宋体"/>
          <w:kern w:val="0"/>
          <w:sz w:val="24"/>
          <w:szCs w:val="24"/>
        </w:rPr>
        <w:t>21073121</w:t>
      </w:r>
      <w:r>
        <w:rPr>
          <w:rFonts w:hint="eastAsia" w:ascii="宋体" w:hAnsi="宋体" w:eastAsia="宋体" w:cs="宋体"/>
          <w:sz w:val="24"/>
          <w:szCs w:val="24"/>
        </w:rPr>
        <w:t>）资助。在Journal of Physic. Chemistry 和 Corrosion Science等SCI期刊上发表论文29篇，至今被引用527次。</w:t>
      </w:r>
      <w:bookmarkStart w:id="3" w:name="_GoBack"/>
      <w:bookmarkEnd w:id="3"/>
    </w:p>
    <w:p>
      <w:pPr>
        <w:keepNext w:val="0"/>
        <w:keepLines w:val="0"/>
        <w:pageBreakBefore w:val="0"/>
        <w:widowControl/>
        <w:kinsoku/>
        <w:wordWrap/>
        <w:overflowPunct/>
        <w:topLinePunct w:val="0"/>
        <w:autoSpaceDE w:val="0"/>
        <w:autoSpaceDN w:val="0"/>
        <w:bidi w:val="0"/>
        <w:adjustRightInd w:val="0"/>
        <w:snapToGrid w:val="0"/>
        <w:spacing w:line="360" w:lineRule="auto"/>
        <w:ind w:right="0" w:rightChars="0"/>
        <w:jc w:val="left"/>
        <w:textAlignment w:val="auto"/>
        <w:outlineLvl w:val="9"/>
        <w:rPr>
          <w:rFonts w:hint="eastAsia" w:ascii="宋体" w:hAnsi="宋体" w:eastAsia="宋体" w:cs="宋体"/>
          <w:kern w:val="0"/>
          <w:sz w:val="24"/>
          <w:szCs w:val="24"/>
        </w:rPr>
      </w:pPr>
    </w:p>
    <w:p>
      <w:pPr>
        <w:keepNext w:val="0"/>
        <w:keepLines w:val="0"/>
        <w:pageBreakBefore w:val="0"/>
        <w:kinsoku/>
        <w:wordWrap/>
        <w:overflowPunct/>
        <w:topLinePunct w:val="0"/>
        <w:bidi w:val="0"/>
        <w:adjustRightInd w:val="0"/>
        <w:snapToGrid w:val="0"/>
        <w:spacing w:line="360" w:lineRule="auto"/>
        <w:ind w:right="0" w:rightChars="0"/>
        <w:textAlignment w:val="auto"/>
        <w:outlineLvl w:val="9"/>
        <w:rPr>
          <w:rFonts w:hint="eastAsia" w:ascii="宋体" w:hAnsi="宋体" w:eastAsia="宋体" w:cs="宋体"/>
          <w:b/>
          <w:sz w:val="24"/>
          <w:szCs w:val="24"/>
        </w:rPr>
      </w:pPr>
      <w:r>
        <w:rPr>
          <w:rFonts w:hint="eastAsia" w:ascii="宋体" w:hAnsi="宋体" w:eastAsia="宋体" w:cs="宋体"/>
          <w:b/>
          <w:sz w:val="24"/>
          <w:szCs w:val="24"/>
        </w:rPr>
        <w:t>3</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代表性论文目录：</w:t>
      </w:r>
    </w:p>
    <w:p>
      <w:pPr>
        <w:keepNext w:val="0"/>
        <w:keepLines w:val="0"/>
        <w:pageBreakBefore w:val="0"/>
        <w:kinsoku/>
        <w:wordWrap/>
        <w:overflowPunct/>
        <w:topLinePunct w:val="0"/>
        <w:bidi w:val="0"/>
        <w:adjustRightInd w:val="0"/>
        <w:snapToGrid w:val="0"/>
        <w:spacing w:line="360" w:lineRule="auto"/>
        <w:ind w:left="240" w:right="0" w:rightChars="0" w:hanging="240" w:hangingChars="1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b/>
          <w:sz w:val="24"/>
          <w:szCs w:val="24"/>
        </w:rPr>
        <w:t>Hai-Feng Yang</w:t>
      </w:r>
      <w:r>
        <w:rPr>
          <w:rFonts w:hint="eastAsia" w:ascii="宋体" w:hAnsi="宋体" w:eastAsia="宋体" w:cs="宋体"/>
          <w:sz w:val="24"/>
          <w:szCs w:val="24"/>
        </w:rPr>
        <w:t>, Jie Feng, Yan-Li Liu, Yu Yang, Zong-Rang Zhang, Guo-Li Shen, Ru-QinYu. Electrochemical and Surface Enhanced Raman Scattering Spectroelectrochemical Study of Phytic Acid on the Silver Electrode.</w:t>
      </w:r>
      <w:r>
        <w:rPr>
          <w:rFonts w:hint="eastAsia" w:ascii="宋体" w:hAnsi="宋体" w:eastAsia="宋体" w:cs="宋体"/>
          <w:b/>
          <w:sz w:val="24"/>
          <w:szCs w:val="24"/>
        </w:rPr>
        <w:t xml:space="preserve"> J. Phys. Chem. B.</w:t>
      </w:r>
      <w:r>
        <w:rPr>
          <w:rFonts w:hint="eastAsia" w:ascii="宋体" w:hAnsi="宋体" w:eastAsia="宋体" w:cs="宋体"/>
          <w:sz w:val="24"/>
          <w:szCs w:val="24"/>
        </w:rPr>
        <w:t xml:space="preserve"> 2004,108: 17412-17417.</w:t>
      </w:r>
    </w:p>
    <w:p>
      <w:pPr>
        <w:keepNext w:val="0"/>
        <w:keepLines w:val="0"/>
        <w:pageBreakBefore w:val="0"/>
        <w:kinsoku/>
        <w:wordWrap/>
        <w:overflowPunct/>
        <w:topLinePunct w:val="0"/>
        <w:bidi w:val="0"/>
        <w:adjustRightInd w:val="0"/>
        <w:snapToGrid w:val="0"/>
        <w:spacing w:line="360" w:lineRule="auto"/>
        <w:ind w:left="360" w:right="0" w:rightChars="0" w:hanging="360" w:hangingChars="15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2. </w:t>
      </w:r>
      <w:r>
        <w:rPr>
          <w:rFonts w:hint="eastAsia" w:ascii="宋体" w:hAnsi="宋体" w:eastAsia="宋体" w:cs="宋体"/>
          <w:b/>
          <w:sz w:val="24"/>
          <w:szCs w:val="24"/>
        </w:rPr>
        <w:t>Haifeng Yang</w:t>
      </w:r>
      <w:r>
        <w:rPr>
          <w:rFonts w:hint="eastAsia" w:ascii="宋体" w:hAnsi="宋体" w:eastAsia="宋体" w:cs="宋体"/>
          <w:sz w:val="24"/>
          <w:szCs w:val="24"/>
        </w:rPr>
        <w:t xml:space="preserve">, Yanli Liu, Zhimin Liu, Yu Yang, Jianhui Jian, Zongrang Zhang, Guoli Shen, Ruqin Yu*.  Raman Mapping and In Situ SERS Spectroelectro -chemical Studies of 6-Mercaptopurine SAMs on the Gold Electrode. </w:t>
      </w:r>
      <w:r>
        <w:rPr>
          <w:rFonts w:hint="eastAsia" w:ascii="宋体" w:hAnsi="宋体" w:eastAsia="宋体" w:cs="宋体"/>
          <w:b/>
          <w:sz w:val="24"/>
          <w:szCs w:val="24"/>
        </w:rPr>
        <w:t>J. Phys. Chem. B.</w:t>
      </w:r>
      <w:r>
        <w:rPr>
          <w:rFonts w:hint="eastAsia" w:ascii="宋体" w:hAnsi="宋体" w:eastAsia="宋体" w:cs="宋体"/>
          <w:sz w:val="24"/>
          <w:szCs w:val="24"/>
        </w:rPr>
        <w:t xml:space="preserve"> 2005, 109: 2739-2744. </w:t>
      </w:r>
    </w:p>
    <w:p>
      <w:pPr>
        <w:keepNext w:val="0"/>
        <w:keepLines w:val="0"/>
        <w:pageBreakBefore w:val="0"/>
        <w:kinsoku/>
        <w:wordWrap/>
        <w:overflowPunct/>
        <w:topLinePunct w:val="0"/>
        <w:bidi w:val="0"/>
        <w:adjustRightInd w:val="0"/>
        <w:snapToGrid w:val="0"/>
        <w:spacing w:line="360" w:lineRule="auto"/>
        <w:ind w:left="240" w:right="0" w:rightChars="0" w:hanging="240" w:hangingChars="1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3. Hui Chu, </w:t>
      </w:r>
      <w:r>
        <w:rPr>
          <w:rFonts w:hint="eastAsia" w:ascii="宋体" w:hAnsi="宋体" w:eastAsia="宋体" w:cs="宋体"/>
          <w:b/>
          <w:sz w:val="24"/>
          <w:szCs w:val="24"/>
        </w:rPr>
        <w:t>Haifeng Yang</w:t>
      </w:r>
      <w:r>
        <w:rPr>
          <w:rFonts w:hint="eastAsia" w:ascii="宋体" w:hAnsi="宋体" w:eastAsia="宋体" w:cs="宋体"/>
          <w:sz w:val="24"/>
          <w:szCs w:val="24"/>
        </w:rPr>
        <w:t>, Shuangyan Huan, Guoli Shen,* Ruqin Yu.</w:t>
      </w:r>
      <w:r>
        <w:rPr>
          <w:rFonts w:hint="eastAsia" w:ascii="宋体" w:hAnsi="宋体" w:eastAsia="宋体" w:cs="宋体"/>
          <w:b/>
          <w:sz w:val="24"/>
          <w:szCs w:val="24"/>
        </w:rPr>
        <w:t xml:space="preserve"> </w:t>
      </w:r>
      <w:r>
        <w:rPr>
          <w:rFonts w:hint="eastAsia" w:ascii="宋体" w:hAnsi="宋体" w:eastAsia="宋体" w:cs="宋体"/>
          <w:sz w:val="24"/>
          <w:szCs w:val="24"/>
        </w:rPr>
        <w:t xml:space="preserve">Orientation of 6-Mercaptopurine SAMs at the Silver Electrode as Studied by Raman Mapping and in Situ SERS. </w:t>
      </w:r>
      <w:r>
        <w:rPr>
          <w:rFonts w:hint="eastAsia" w:ascii="宋体" w:hAnsi="宋体" w:eastAsia="宋体" w:cs="宋体"/>
          <w:b/>
          <w:sz w:val="24"/>
          <w:szCs w:val="24"/>
        </w:rPr>
        <w:t xml:space="preserve">J. Phys. Chem. B. </w:t>
      </w:r>
      <w:r>
        <w:rPr>
          <w:rFonts w:hint="eastAsia" w:ascii="宋体" w:hAnsi="宋体" w:eastAsia="宋体" w:cs="宋体"/>
          <w:sz w:val="24"/>
          <w:szCs w:val="24"/>
        </w:rPr>
        <w:t>2006,</w:t>
      </w:r>
      <w:r>
        <w:rPr>
          <w:rFonts w:hint="eastAsia" w:ascii="宋体" w:hAnsi="宋体" w:eastAsia="宋体" w:cs="宋体"/>
          <w:b/>
          <w:sz w:val="24"/>
          <w:szCs w:val="24"/>
        </w:rPr>
        <w:t xml:space="preserve"> </w:t>
      </w:r>
      <w:r>
        <w:rPr>
          <w:rFonts w:hint="eastAsia" w:ascii="宋体" w:hAnsi="宋体" w:eastAsia="宋体" w:cs="宋体"/>
          <w:sz w:val="24"/>
          <w:szCs w:val="24"/>
        </w:rPr>
        <w:t>110: 5490-5497.</w:t>
      </w:r>
    </w:p>
    <w:p>
      <w:pPr>
        <w:keepNext w:val="0"/>
        <w:keepLines w:val="0"/>
        <w:pageBreakBefore w:val="0"/>
        <w:kinsoku/>
        <w:wordWrap/>
        <w:overflowPunct/>
        <w:topLinePunct w:val="0"/>
        <w:bidi w:val="0"/>
        <w:adjustRightInd w:val="0"/>
        <w:snapToGrid w:val="0"/>
        <w:spacing w:line="360" w:lineRule="auto"/>
        <w:ind w:left="240" w:right="0" w:rightChars="0" w:hanging="240" w:hangingChars="1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4. </w:t>
      </w:r>
      <w:r>
        <w:rPr>
          <w:rFonts w:hint="eastAsia" w:ascii="宋体" w:hAnsi="宋体" w:eastAsia="宋体" w:cs="宋体"/>
          <w:b/>
          <w:sz w:val="24"/>
          <w:szCs w:val="24"/>
        </w:rPr>
        <w:t>Haifeng Yang*,</w:t>
      </w:r>
      <w:r>
        <w:rPr>
          <w:rFonts w:hint="eastAsia" w:ascii="宋体" w:hAnsi="宋体" w:eastAsia="宋体" w:cs="宋体"/>
          <w:sz w:val="24"/>
          <w:szCs w:val="24"/>
        </w:rPr>
        <w:t xml:space="preserve"> Xiaojing Sun, Jun Zhu, Jiahua Ji, Xiaoling Ma, Zongrang Zhang. Surface Enhanced Raman Scattering, in Situ Spectro-Electrochemical, and Electrochemical Impedance Spectroscopic Investigations of 2-Amino-5-mercapto- 1,3,4-thiadiazole Monolayers at a Silver Electrode. </w:t>
      </w:r>
      <w:r>
        <w:rPr>
          <w:rFonts w:hint="eastAsia" w:ascii="宋体" w:hAnsi="宋体" w:eastAsia="宋体" w:cs="宋体"/>
          <w:b/>
          <w:sz w:val="24"/>
          <w:szCs w:val="24"/>
        </w:rPr>
        <w:t>J. Phys. Chem. C.</w:t>
      </w:r>
      <w:r>
        <w:rPr>
          <w:rFonts w:hint="eastAsia" w:ascii="宋体" w:hAnsi="宋体" w:eastAsia="宋体" w:cs="宋体"/>
          <w:sz w:val="24"/>
          <w:szCs w:val="24"/>
        </w:rPr>
        <w:t xml:space="preserve"> 2007, 111: 7986-7991.</w:t>
      </w:r>
    </w:p>
    <w:p>
      <w:pPr>
        <w:keepNext w:val="0"/>
        <w:keepLines w:val="0"/>
        <w:pageBreakBefore w:val="0"/>
        <w:kinsoku/>
        <w:wordWrap/>
        <w:overflowPunct/>
        <w:topLinePunct w:val="0"/>
        <w:bidi w:val="0"/>
        <w:adjustRightInd w:val="0"/>
        <w:snapToGrid w:val="0"/>
        <w:spacing w:line="360" w:lineRule="auto"/>
        <w:ind w:left="240" w:right="0" w:rightChars="0" w:hanging="240" w:hangingChars="100"/>
        <w:textAlignment w:val="auto"/>
        <w:outlineLvl w:val="9"/>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
          <w:sz w:val="24"/>
          <w:szCs w:val="24"/>
        </w:rPr>
        <w:t>Haifeng Yang</w:t>
      </w:r>
      <w:r>
        <w:rPr>
          <w:rFonts w:hint="eastAsia" w:ascii="宋体" w:hAnsi="宋体" w:eastAsia="宋体" w:cs="宋体"/>
          <w:sz w:val="24"/>
          <w:szCs w:val="24"/>
        </w:rPr>
        <w:t>,* Xuan Zhu, Wei Song, Yiping Sun, Guoping Duan, Xia Zhao,</w:t>
      </w:r>
    </w:p>
    <w:p>
      <w:pPr>
        <w:keepNext w:val="0"/>
        <w:keepLines w:val="0"/>
        <w:pageBreakBefore w:val="0"/>
        <w:kinsoku/>
        <w:wordWrap/>
        <w:overflowPunct/>
        <w:topLinePunct w:val="0"/>
        <w:bidi w:val="0"/>
        <w:adjustRightInd w:val="0"/>
        <w:snapToGrid w:val="0"/>
        <w:spacing w:line="360" w:lineRule="auto"/>
        <w:ind w:left="315" w:leftChars="150"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Zongrang Zhang. N-Acetylalanine Monolayers at the Silver Surface Investigated by Surface Enhanced Raman Scattering Spectroscopy and X-ray Photoelectron Spectroscopy: Effect of Metallic Ions. </w:t>
      </w:r>
      <w:r>
        <w:rPr>
          <w:rFonts w:hint="eastAsia" w:ascii="宋体" w:hAnsi="宋体" w:eastAsia="宋体" w:cs="宋体"/>
          <w:b/>
          <w:sz w:val="24"/>
          <w:szCs w:val="24"/>
        </w:rPr>
        <w:t>J. Phys. Chem. C.</w:t>
      </w:r>
      <w:r>
        <w:rPr>
          <w:rFonts w:hint="eastAsia" w:ascii="宋体" w:hAnsi="宋体" w:eastAsia="宋体" w:cs="宋体"/>
          <w:sz w:val="24"/>
          <w:szCs w:val="24"/>
        </w:rPr>
        <w:t xml:space="preserve"> 2008, 112: 15022–15027.</w:t>
      </w:r>
    </w:p>
    <w:p>
      <w:pPr>
        <w:keepNext w:val="0"/>
        <w:keepLines w:val="0"/>
        <w:pageBreakBefore w:val="0"/>
        <w:kinsoku/>
        <w:wordWrap/>
        <w:overflowPunct/>
        <w:topLinePunct w:val="0"/>
        <w:bidi w:val="0"/>
        <w:adjustRightInd w:val="0"/>
        <w:snapToGrid w:val="0"/>
        <w:spacing w:line="360" w:lineRule="auto"/>
        <w:ind w:left="240" w:right="0" w:rightChars="0" w:hanging="240" w:hangingChars="1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6. Rui Zhang, </w:t>
      </w:r>
      <w:r>
        <w:rPr>
          <w:rFonts w:hint="eastAsia" w:ascii="宋体" w:hAnsi="宋体" w:eastAsia="宋体" w:cs="宋体"/>
          <w:b/>
          <w:sz w:val="24"/>
          <w:szCs w:val="24"/>
        </w:rPr>
        <w:t>Haifeng Yang,*</w:t>
      </w:r>
      <w:r>
        <w:rPr>
          <w:rFonts w:hint="eastAsia" w:ascii="宋体" w:hAnsi="宋体" w:eastAsia="宋体" w:cs="宋体"/>
          <w:sz w:val="24"/>
          <w:szCs w:val="24"/>
        </w:rPr>
        <w:t xml:space="preserve"> Yiping Sun, Wei Song, Xuan Zhu, Na Wang, Yao Wang, YingCheng Pan, and Zongrang Zhang. Competitive Adsorption of 4-Methyl-4H-1,2,4-triazole-3-thiol and Na Salt of Phytic Acid on a Silver Surface: Raman Spectral and Electrochemical Observations. </w:t>
      </w:r>
      <w:r>
        <w:rPr>
          <w:rFonts w:hint="eastAsia" w:ascii="宋体" w:hAnsi="宋体" w:eastAsia="宋体" w:cs="宋体"/>
          <w:b/>
          <w:sz w:val="24"/>
          <w:szCs w:val="24"/>
        </w:rPr>
        <w:t>J. Phys. Chem. C</w:t>
      </w:r>
      <w:r>
        <w:rPr>
          <w:rFonts w:hint="eastAsia" w:ascii="宋体" w:hAnsi="宋体" w:eastAsia="宋体" w:cs="宋体"/>
          <w:sz w:val="24"/>
          <w:szCs w:val="24"/>
        </w:rPr>
        <w:t>. 2009,113:9748–9754.</w:t>
      </w:r>
    </w:p>
    <w:p>
      <w:pPr>
        <w:keepNext w:val="0"/>
        <w:keepLines w:val="0"/>
        <w:pageBreakBefore w:val="0"/>
        <w:kinsoku/>
        <w:wordWrap/>
        <w:overflowPunct/>
        <w:topLinePunct w:val="0"/>
        <w:bidi w:val="0"/>
        <w:adjustRightInd w:val="0"/>
        <w:snapToGrid w:val="0"/>
        <w:spacing w:line="360" w:lineRule="auto"/>
        <w:ind w:left="360" w:right="0" w:rightChars="0" w:hanging="360" w:hangingChars="15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7.  Rui Zhang, Ying Wen, Na Wang, Yao Wang, Yingying Wang, Zongrang Zhang, </w:t>
      </w:r>
      <w:r>
        <w:rPr>
          <w:rFonts w:hint="eastAsia" w:ascii="宋体" w:hAnsi="宋体" w:eastAsia="宋体" w:cs="宋体"/>
          <w:b/>
          <w:sz w:val="24"/>
          <w:szCs w:val="24"/>
        </w:rPr>
        <w:t>Haifeng Yang*</w:t>
      </w:r>
      <w:r>
        <w:rPr>
          <w:rFonts w:hint="eastAsia" w:ascii="宋体" w:hAnsi="宋体" w:eastAsia="宋体" w:cs="宋体"/>
          <w:sz w:val="24"/>
          <w:szCs w:val="24"/>
        </w:rPr>
        <w:t>.  Insight in the Relationship between the Structure and Property of Methimazole Monolayers on a Silver Surface: Electrochemical and Raman Study.</w:t>
      </w:r>
      <w:r>
        <w:rPr>
          <w:rFonts w:hint="eastAsia" w:ascii="宋体" w:hAnsi="宋体" w:eastAsia="宋体" w:cs="宋体"/>
          <w:b/>
          <w:sz w:val="24"/>
          <w:szCs w:val="24"/>
        </w:rPr>
        <w:t xml:space="preserve"> J. Phys. Chem. B.</w:t>
      </w:r>
      <w:r>
        <w:rPr>
          <w:rFonts w:hint="eastAsia" w:ascii="宋体" w:hAnsi="宋体" w:eastAsia="宋体" w:cs="宋体"/>
          <w:sz w:val="24"/>
          <w:szCs w:val="24"/>
        </w:rPr>
        <w:t xml:space="preserve"> 2010,114: 2450–2456.</w:t>
      </w:r>
    </w:p>
    <w:p>
      <w:pPr>
        <w:keepNext w:val="0"/>
        <w:keepLines w:val="0"/>
        <w:pageBreakBefore w:val="0"/>
        <w:kinsoku/>
        <w:wordWrap/>
        <w:overflowPunct/>
        <w:topLinePunct w:val="0"/>
        <w:bidi w:val="0"/>
        <w:adjustRightInd w:val="0"/>
        <w:snapToGrid w:val="0"/>
        <w:spacing w:line="360" w:lineRule="auto"/>
        <w:ind w:left="360" w:right="0" w:rightChars="0" w:hanging="360" w:hangingChars="15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8. Ying-Cheng Pan, Ying Wen,* Lu-Yuan Xue, Xiao-Yu Guo, </w:t>
      </w:r>
      <w:r>
        <w:rPr>
          <w:rFonts w:hint="eastAsia" w:ascii="宋体" w:hAnsi="宋体" w:eastAsia="宋体" w:cs="宋体"/>
          <w:b/>
          <w:sz w:val="24"/>
          <w:szCs w:val="24"/>
        </w:rPr>
        <w:t>Hai-Feng Yang*.</w:t>
      </w:r>
      <w:r>
        <w:rPr>
          <w:rFonts w:hint="eastAsia" w:ascii="宋体" w:hAnsi="宋体" w:eastAsia="宋体" w:cs="宋体"/>
          <w:sz w:val="24"/>
          <w:szCs w:val="24"/>
        </w:rPr>
        <w:t xml:space="preserve"> Adsorption Behavior of Methimazole Monolayers on a Copper Surface and Its Corrosion Inhibition. </w:t>
      </w:r>
      <w:r>
        <w:rPr>
          <w:rFonts w:hint="eastAsia" w:ascii="宋体" w:hAnsi="宋体" w:eastAsia="宋体" w:cs="宋体"/>
          <w:b/>
          <w:sz w:val="24"/>
          <w:szCs w:val="24"/>
        </w:rPr>
        <w:t>J. Phys. Chem. C</w:t>
      </w:r>
      <w:r>
        <w:rPr>
          <w:rFonts w:hint="eastAsia" w:ascii="宋体" w:hAnsi="宋体" w:eastAsia="宋体" w:cs="宋体"/>
          <w:sz w:val="24"/>
          <w:szCs w:val="24"/>
        </w:rPr>
        <w:t>. 2012,116: 3532 – 3538.</w:t>
      </w:r>
    </w:p>
    <w:p>
      <w:pPr>
        <w:keepNext w:val="0"/>
        <w:keepLines w:val="0"/>
        <w:pageBreakBefore w:val="0"/>
        <w:kinsoku/>
        <w:wordWrap/>
        <w:overflowPunct/>
        <w:topLinePunct w:val="0"/>
        <w:bidi w:val="0"/>
        <w:adjustRightInd w:val="0"/>
        <w:snapToGrid w:val="0"/>
        <w:spacing w:line="360" w:lineRule="auto"/>
        <w:ind w:right="0" w:rightChars="0"/>
        <w:textAlignment w:val="auto"/>
        <w:outlineLvl w:val="9"/>
        <w:rPr>
          <w:rFonts w:hint="eastAsia" w:ascii="宋体" w:hAnsi="宋体" w:eastAsia="宋体" w:cs="宋体"/>
          <w:b/>
          <w:sz w:val="24"/>
          <w:szCs w:val="24"/>
        </w:rPr>
      </w:pPr>
      <w:r>
        <w:rPr>
          <w:rFonts w:hint="eastAsia" w:ascii="宋体" w:hAnsi="宋体" w:eastAsia="宋体" w:cs="宋体"/>
          <w:b/>
          <w:sz w:val="24"/>
          <w:szCs w:val="24"/>
        </w:rPr>
        <w:t>4 主要完成单位：</w:t>
      </w:r>
    </w:p>
    <w:p>
      <w:pPr>
        <w:keepNext w:val="0"/>
        <w:keepLines w:val="0"/>
        <w:pageBreakBefore w:val="0"/>
        <w:kinsoku/>
        <w:wordWrap/>
        <w:overflowPunct/>
        <w:topLinePunct w:val="0"/>
        <w:bidi w:val="0"/>
        <w:adjustRightInd w:val="0"/>
        <w:snapToGrid w:val="0"/>
        <w:spacing w:line="360" w:lineRule="auto"/>
        <w:ind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上海师范大学   湖南大学</w:t>
      </w:r>
    </w:p>
    <w:p>
      <w:pPr>
        <w:keepNext w:val="0"/>
        <w:keepLines w:val="0"/>
        <w:pageBreakBefore w:val="0"/>
        <w:kinsoku/>
        <w:wordWrap/>
        <w:overflowPunct/>
        <w:topLinePunct w:val="0"/>
        <w:bidi w:val="0"/>
        <w:adjustRightInd w:val="0"/>
        <w:snapToGrid w:val="0"/>
        <w:spacing w:line="360" w:lineRule="auto"/>
        <w:ind w:right="0" w:rightChars="0"/>
        <w:textAlignment w:val="auto"/>
        <w:outlineLvl w:val="9"/>
        <w:rPr>
          <w:rFonts w:hint="eastAsia" w:ascii="宋体" w:hAnsi="宋体" w:eastAsia="宋体" w:cs="宋体"/>
          <w:b/>
          <w:sz w:val="24"/>
          <w:szCs w:val="24"/>
        </w:rPr>
      </w:pPr>
      <w:r>
        <w:rPr>
          <w:rFonts w:hint="eastAsia" w:ascii="宋体" w:hAnsi="宋体" w:eastAsia="宋体" w:cs="宋体"/>
          <w:b/>
          <w:sz w:val="24"/>
          <w:szCs w:val="24"/>
        </w:rPr>
        <w:t>5 主要完成人：</w:t>
      </w:r>
    </w:p>
    <w:p>
      <w:pPr>
        <w:keepNext w:val="0"/>
        <w:keepLines w:val="0"/>
        <w:pageBreakBefore w:val="0"/>
        <w:kinsoku/>
        <w:wordWrap/>
        <w:overflowPunct/>
        <w:topLinePunct w:val="0"/>
        <w:bidi w:val="0"/>
        <w:adjustRightInd w:val="0"/>
        <w:snapToGrid w:val="0"/>
        <w:spacing w:line="360" w:lineRule="auto"/>
        <w:ind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杨海峰，文颖， 宦双燕， 郭小玉， 楚慧</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项目二：</w:t>
      </w:r>
    </w:p>
    <w:p>
      <w:pPr>
        <w:keepNext w:val="0"/>
        <w:keepLines w:val="0"/>
        <w:pageBreakBefore w:val="0"/>
        <w:widowControl w:val="0"/>
        <w:kinsoku/>
        <w:wordWrap/>
        <w:overflowPunct/>
        <w:topLinePunct w:val="0"/>
        <w:autoSpaceDE/>
        <w:autoSpaceDN/>
        <w:bidi w:val="0"/>
        <w:adjustRightInd w:val="0"/>
        <w:snapToGrid w:val="0"/>
        <w:spacing w:line="360" w:lineRule="auto"/>
        <w:jc w:val="both"/>
        <w:outlineLvl w:val="9"/>
        <w:rPr>
          <w:rFonts w:hint="eastAsia" w:ascii="宋体" w:hAnsi="宋体" w:eastAsia="宋体" w:cs="宋体"/>
          <w:sz w:val="24"/>
          <w:szCs w:val="24"/>
        </w:rPr>
      </w:pPr>
      <w:r>
        <w:rPr>
          <w:rFonts w:hint="eastAsia" w:ascii="宋体" w:hAnsi="宋体" w:eastAsia="宋体" w:cs="宋体"/>
          <w:b/>
          <w:sz w:val="24"/>
          <w:szCs w:val="24"/>
          <w:lang w:val="en-US" w:eastAsia="zh-CN"/>
        </w:rPr>
        <w:t xml:space="preserve">1 </w:t>
      </w:r>
      <w:r>
        <w:rPr>
          <w:rFonts w:hint="eastAsia" w:ascii="宋体" w:hAnsi="宋体" w:eastAsia="宋体" w:cs="宋体"/>
          <w:b/>
          <w:sz w:val="24"/>
          <w:szCs w:val="24"/>
        </w:rPr>
        <w:t>项目名称</w:t>
      </w:r>
      <w:bookmarkStart w:id="0" w:name="OLE_LINK3"/>
      <w:r>
        <w:rPr>
          <w:rFonts w:hint="eastAsia" w:ascii="宋体" w:hAnsi="宋体" w:eastAsia="宋体" w:cs="宋体"/>
          <w:b/>
          <w:sz w:val="24"/>
          <w:szCs w:val="24"/>
          <w:lang w:eastAsia="zh-CN"/>
        </w:rPr>
        <w:t>：</w:t>
      </w:r>
      <w:r>
        <w:rPr>
          <w:rFonts w:hint="eastAsia" w:ascii="宋体" w:hAnsi="宋体" w:eastAsia="宋体" w:cs="宋体"/>
          <w:sz w:val="24"/>
          <w:szCs w:val="24"/>
        </w:rPr>
        <w:t>植物雄性不育及花粉发育</w:t>
      </w:r>
    </w:p>
    <w:bookmarkEnd w:id="0"/>
    <w:p>
      <w:pPr>
        <w:keepNext w:val="0"/>
        <w:keepLines w:val="0"/>
        <w:pageBreakBefore w:val="0"/>
        <w:widowControl w:val="0"/>
        <w:kinsoku/>
        <w:wordWrap/>
        <w:overflowPunct/>
        <w:topLinePunct w:val="0"/>
        <w:autoSpaceDE/>
        <w:autoSpaceDN/>
        <w:bidi w:val="0"/>
        <w:adjustRightInd w:val="0"/>
        <w:snapToGrid w:val="0"/>
        <w:spacing w:line="360" w:lineRule="auto"/>
        <w:jc w:val="both"/>
        <w:outlineLvl w:val="9"/>
        <w:rPr>
          <w:rFonts w:hint="eastAsia" w:ascii="宋体" w:hAnsi="宋体" w:eastAsia="宋体" w:cs="宋体"/>
          <w:b/>
          <w:sz w:val="24"/>
          <w:szCs w:val="24"/>
        </w:rPr>
      </w:pPr>
      <w:r>
        <w:rPr>
          <w:rFonts w:hint="eastAsia" w:ascii="宋体" w:hAnsi="宋体" w:eastAsia="宋体" w:cs="宋体"/>
          <w:b/>
          <w:sz w:val="24"/>
          <w:szCs w:val="24"/>
          <w:lang w:val="en-US" w:eastAsia="zh-CN"/>
        </w:rPr>
        <w:t xml:space="preserve">2 </w:t>
      </w:r>
      <w:r>
        <w:rPr>
          <w:rFonts w:hint="eastAsia" w:ascii="宋体" w:hAnsi="宋体" w:eastAsia="宋体" w:cs="宋体"/>
          <w:b/>
          <w:sz w:val="24"/>
          <w:szCs w:val="24"/>
        </w:rPr>
        <w:t>项目简介</w:t>
      </w:r>
      <w:r>
        <w:rPr>
          <w:rFonts w:hint="eastAsia" w:ascii="宋体" w:hAnsi="宋体" w:eastAsia="宋体" w:cs="宋体"/>
          <w:b/>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jc w:val="both"/>
        <w:outlineLvl w:val="9"/>
        <w:rPr>
          <w:rFonts w:hint="eastAsia" w:ascii="宋体" w:hAnsi="宋体" w:eastAsia="宋体" w:cs="宋体"/>
          <w:sz w:val="24"/>
          <w:szCs w:val="24"/>
        </w:rPr>
      </w:pPr>
      <w:bookmarkStart w:id="1" w:name="OLE_LINK2"/>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次申报的项目归属于生物医药技术领域，所属学科为农业科学技术中的农业植物学等相关学科。植物雄性不育是农业上非常重要的农艺性状，是生产上杂交制种提高作物产量的基础。雄性不育的本质是不能形成有功能的花粉或花粉不能释放。本项目对雄性不育植株相关基因的克隆及功能研究，揭示了这些基因参与花粉壁合成调控、花粉壁模式决定、减数分裂等花粉的基本细胞生物学过程。</w:t>
      </w:r>
    </w:p>
    <w:p>
      <w:pPr>
        <w:keepNext w:val="0"/>
        <w:keepLines w:val="0"/>
        <w:pageBreakBefore w:val="0"/>
        <w:widowControl w:val="0"/>
        <w:kinsoku/>
        <w:wordWrap/>
        <w:overflowPunct/>
        <w:topLinePunct w:val="0"/>
        <w:autoSpaceDE/>
        <w:autoSpaceDN/>
        <w:bidi w:val="0"/>
        <w:adjustRightInd w:val="0"/>
        <w:snapToGrid w:val="0"/>
        <w:spacing w:line="360" w:lineRule="auto"/>
        <w:jc w:val="both"/>
        <w:outlineLvl w:val="9"/>
        <w:rPr>
          <w:rFonts w:hint="eastAsia" w:ascii="宋体" w:hAnsi="宋体" w:eastAsia="宋体" w:cs="宋体"/>
          <w:sz w:val="24"/>
          <w:szCs w:val="24"/>
        </w:rPr>
      </w:pPr>
      <w:r>
        <w:rPr>
          <w:rFonts w:hint="eastAsia" w:ascii="宋体" w:hAnsi="宋体" w:eastAsia="宋体" w:cs="宋体"/>
          <w:sz w:val="24"/>
          <w:szCs w:val="24"/>
        </w:rPr>
        <w:t>1）花粉外壁由外壁外层和外壁内层组成，我们克隆了特异调控外壁外层及外壁内层的关键因子MS188/MYB103和TEK，进一步揭示了绒毡层转录调控通路(DYT1-TDF1-AMS)对这些关键基因的直接调控作用。2）胼胝质壁和初生外壁在花粉壁模式决定过程中起到关键作用。我们克隆了花粉初生外壁形成的关键基因RPG1和NPU，揭示了CDKG1和ARF17直接调控胼胝质壁合成基因CalS5从而参与花粉壁模式的形成。3）小孢子母细胞通过减数分裂产生小孢子并进一步发育为成熟花粉。同源重组是减数分裂的关键步骤，双链断裂是同源重组的起始。我们克隆了两个参与DNA双链断裂的关键基因MPS1和DFO。这些工作不仅为植物育种提供了基因资源，也系统地揭示了这些基因如何参与花粉形成的细胞生物学过程。4）利用粳稻及籼稻品种的全基因组序列构建了水稻全基因组DNA多态性数据库，可广泛应用到水稻基因定位和分子育种。</w:t>
      </w:r>
    </w:p>
    <w:p>
      <w:pPr>
        <w:keepNext w:val="0"/>
        <w:keepLines w:val="0"/>
        <w:pageBreakBefore w:val="0"/>
        <w:widowControl w:val="0"/>
        <w:kinsoku/>
        <w:wordWrap/>
        <w:overflowPunct/>
        <w:topLinePunct w:val="0"/>
        <w:autoSpaceDE/>
        <w:autoSpaceDN/>
        <w:bidi w:val="0"/>
        <w:adjustRightInd w:val="0"/>
        <w:snapToGrid w:val="0"/>
        <w:spacing w:line="360" w:lineRule="auto"/>
        <w:jc w:val="both"/>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这些研究工作得到了国家重大研究计划、国家自然科学基金重点/面上/青年基金项目</w:t>
      </w:r>
      <w:bookmarkStart w:id="2" w:name="OLE_LINK1"/>
      <w:r>
        <w:rPr>
          <w:rFonts w:hint="eastAsia" w:ascii="宋体" w:hAnsi="宋体" w:eastAsia="宋体" w:cs="宋体"/>
          <w:sz w:val="24"/>
          <w:szCs w:val="24"/>
        </w:rPr>
        <w:t>、国家杰出青年基金</w:t>
      </w:r>
      <w:bookmarkEnd w:id="2"/>
      <w:r>
        <w:rPr>
          <w:rFonts w:hint="eastAsia" w:ascii="宋体" w:hAnsi="宋体" w:eastAsia="宋体" w:cs="宋体"/>
          <w:sz w:val="24"/>
          <w:szCs w:val="24"/>
        </w:rPr>
        <w:t>、上海市优秀学科带头人以及其他各类基金的资助。在Nature Communations，Plant Cell, Plant Journal 和Plant Physiology等期刊上发表多篇SCI论文，其中8篇代表作至今被引用528次。</w:t>
      </w:r>
      <w:bookmarkEnd w:id="1"/>
    </w:p>
    <w:p>
      <w:pPr>
        <w:keepNext w:val="0"/>
        <w:keepLines w:val="0"/>
        <w:pageBreakBefore w:val="0"/>
        <w:widowControl w:val="0"/>
        <w:kinsoku/>
        <w:wordWrap/>
        <w:overflowPunct/>
        <w:topLinePunct w:val="0"/>
        <w:autoSpaceDE/>
        <w:autoSpaceDN/>
        <w:bidi w:val="0"/>
        <w:adjustRightInd w:val="0"/>
        <w:snapToGrid w:val="0"/>
        <w:spacing w:line="360" w:lineRule="auto"/>
        <w:jc w:val="both"/>
        <w:outlineLvl w:val="9"/>
        <w:rPr>
          <w:rFonts w:hint="eastAsia" w:ascii="宋体" w:hAnsi="宋体" w:eastAsia="宋体" w:cs="宋体"/>
          <w:b/>
          <w:sz w:val="24"/>
          <w:szCs w:val="24"/>
        </w:rPr>
      </w:pPr>
      <w:r>
        <w:rPr>
          <w:rFonts w:hint="eastAsia" w:ascii="宋体" w:hAnsi="宋体" w:eastAsia="宋体" w:cs="宋体"/>
          <w:b/>
          <w:sz w:val="24"/>
          <w:szCs w:val="24"/>
          <w:lang w:val="en-US" w:eastAsia="zh-CN"/>
        </w:rPr>
        <w:t xml:space="preserve">3 </w:t>
      </w:r>
      <w:r>
        <w:rPr>
          <w:rFonts w:hint="eastAsia" w:ascii="宋体" w:hAnsi="宋体" w:eastAsia="宋体" w:cs="宋体"/>
          <w:b/>
          <w:sz w:val="24"/>
          <w:szCs w:val="24"/>
          <w:lang w:eastAsia="zh-CN"/>
        </w:rPr>
        <w:t>代表性</w:t>
      </w:r>
      <w:r>
        <w:rPr>
          <w:rFonts w:hint="eastAsia" w:ascii="宋体" w:hAnsi="宋体" w:eastAsia="宋体" w:cs="宋体"/>
          <w:b/>
          <w:sz w:val="24"/>
          <w:szCs w:val="24"/>
        </w:rPr>
        <w:t>论文</w:t>
      </w:r>
      <w:r>
        <w:rPr>
          <w:rFonts w:hint="eastAsia" w:ascii="宋体" w:hAnsi="宋体" w:eastAsia="宋体" w:cs="宋体"/>
          <w:b/>
          <w:sz w:val="24"/>
          <w:szCs w:val="24"/>
          <w:lang w:eastAsia="zh-CN"/>
        </w:rPr>
        <w:t>目录：</w:t>
      </w:r>
    </w:p>
    <w:p>
      <w:pPr>
        <w:pStyle w:val="2"/>
        <w:keepNext w:val="0"/>
        <w:keepLines w:val="0"/>
        <w:pageBreakBefore w:val="0"/>
        <w:widowControl w:val="0"/>
        <w:tabs>
          <w:tab w:val="left" w:pos="993"/>
        </w:tabs>
        <w:kinsoku/>
        <w:wordWrap/>
        <w:overflowPunct/>
        <w:topLinePunct w:val="0"/>
        <w:autoSpaceDE/>
        <w:autoSpaceDN/>
        <w:bidi w:val="0"/>
        <w:adjustRightInd w:val="0"/>
        <w:snapToGrid w:val="0"/>
        <w:spacing w:after="0" w:line="360" w:lineRule="auto"/>
        <w:ind w:left="425" w:leftChars="0" w:right="168" w:rightChars="80" w:hanging="425" w:hangingChars="177"/>
        <w:jc w:val="both"/>
        <w:textAlignment w:val="baseline"/>
        <w:outlineLvl w:val="9"/>
        <w:rPr>
          <w:rFonts w:hint="eastAsia" w:ascii="宋体" w:hAnsi="宋体" w:eastAsia="宋体" w:cs="宋体"/>
          <w:sz w:val="24"/>
          <w:szCs w:val="24"/>
        </w:rPr>
      </w:pPr>
      <w:r>
        <w:rPr>
          <w:rFonts w:hint="eastAsia" w:ascii="宋体" w:hAnsi="宋体" w:eastAsia="宋体" w:cs="宋体"/>
          <w:sz w:val="24"/>
          <w:szCs w:val="24"/>
        </w:rPr>
        <w:t xml:space="preserve">1. Lou Yue, Xu XF, Zhu J, Gu JN, Blackmore S, </w:t>
      </w:r>
      <w:r>
        <w:rPr>
          <w:rFonts w:hint="eastAsia" w:ascii="宋体" w:hAnsi="宋体" w:eastAsia="宋体" w:cs="宋体"/>
          <w:b/>
          <w:sz w:val="24"/>
          <w:szCs w:val="24"/>
        </w:rPr>
        <w:t>Yang ZN*</w:t>
      </w:r>
      <w:r>
        <w:rPr>
          <w:rFonts w:hint="eastAsia" w:ascii="宋体" w:hAnsi="宋体" w:eastAsia="宋体" w:cs="宋体"/>
          <w:sz w:val="24"/>
          <w:szCs w:val="24"/>
        </w:rPr>
        <w:t xml:space="preserve">. 2014. The Tapetal AHL family protein TEK determines nexine formation in the pollen wall. </w:t>
      </w:r>
      <w:r>
        <w:rPr>
          <w:rFonts w:hint="eastAsia" w:ascii="宋体" w:hAnsi="宋体" w:eastAsia="宋体" w:cs="宋体"/>
          <w:b/>
          <w:sz w:val="24"/>
          <w:szCs w:val="24"/>
        </w:rPr>
        <w:t>Nature Communications</w:t>
      </w:r>
      <w:r>
        <w:rPr>
          <w:rFonts w:hint="eastAsia" w:ascii="宋体" w:hAnsi="宋体" w:eastAsia="宋体" w:cs="宋体"/>
          <w:sz w:val="24"/>
          <w:szCs w:val="24"/>
        </w:rPr>
        <w:t xml:space="preserve"> 5:3855.</w:t>
      </w:r>
    </w:p>
    <w:p>
      <w:pPr>
        <w:pStyle w:val="2"/>
        <w:keepNext w:val="0"/>
        <w:keepLines w:val="0"/>
        <w:pageBreakBefore w:val="0"/>
        <w:widowControl w:val="0"/>
        <w:tabs>
          <w:tab w:val="left" w:pos="993"/>
        </w:tabs>
        <w:kinsoku/>
        <w:wordWrap/>
        <w:overflowPunct/>
        <w:topLinePunct w:val="0"/>
        <w:autoSpaceDE/>
        <w:autoSpaceDN/>
        <w:bidi w:val="0"/>
        <w:adjustRightInd w:val="0"/>
        <w:snapToGrid w:val="0"/>
        <w:spacing w:after="0" w:line="360" w:lineRule="auto"/>
        <w:ind w:left="425" w:leftChars="0" w:right="168" w:rightChars="80" w:hanging="425" w:hangingChars="177"/>
        <w:jc w:val="both"/>
        <w:textAlignment w:val="baseline"/>
        <w:outlineLvl w:val="9"/>
        <w:rPr>
          <w:rFonts w:hint="eastAsia" w:ascii="宋体" w:hAnsi="宋体" w:eastAsia="宋体" w:cs="宋体"/>
          <w:sz w:val="24"/>
          <w:szCs w:val="24"/>
        </w:rPr>
      </w:pPr>
      <w:r>
        <w:rPr>
          <w:rFonts w:hint="eastAsia" w:ascii="宋体" w:hAnsi="宋体" w:eastAsia="宋体" w:cs="宋体"/>
          <w:sz w:val="24"/>
          <w:szCs w:val="24"/>
        </w:rPr>
        <w:t xml:space="preserve">2. Huang Xue-Yong, Niu J, Sun MX, Zhu J, Gao JF, Yang J, Zhou Q, </w:t>
      </w:r>
      <w:r>
        <w:rPr>
          <w:rFonts w:hint="eastAsia" w:ascii="宋体" w:hAnsi="宋体" w:eastAsia="宋体" w:cs="宋体"/>
          <w:b/>
          <w:sz w:val="24"/>
          <w:szCs w:val="24"/>
        </w:rPr>
        <w:t>Yang ZN*</w:t>
      </w:r>
      <w:r>
        <w:rPr>
          <w:rFonts w:hint="eastAsia" w:ascii="宋体" w:hAnsi="宋体" w:eastAsia="宋体" w:cs="宋体"/>
          <w:sz w:val="24"/>
          <w:szCs w:val="24"/>
        </w:rPr>
        <w:t xml:space="preserve">. 2013. CYCLIN-DEPENDENT KINASE G1 is associated with the spliceosome to regulate CALLOSE SYNTHASE5 splicing and pollen wall formation in Arabidopsis. </w:t>
      </w:r>
      <w:r>
        <w:rPr>
          <w:rFonts w:hint="eastAsia" w:ascii="宋体" w:hAnsi="宋体" w:eastAsia="宋体" w:cs="宋体"/>
          <w:b/>
          <w:sz w:val="24"/>
          <w:szCs w:val="24"/>
        </w:rPr>
        <w:t>Plant Cell.</w:t>
      </w:r>
      <w:r>
        <w:rPr>
          <w:rFonts w:hint="eastAsia" w:ascii="宋体" w:hAnsi="宋体" w:eastAsia="宋体" w:cs="宋体"/>
          <w:sz w:val="24"/>
          <w:szCs w:val="24"/>
        </w:rPr>
        <w:t xml:space="preserve"> 25(2):637-648.</w:t>
      </w:r>
    </w:p>
    <w:p>
      <w:pPr>
        <w:pStyle w:val="2"/>
        <w:keepNext w:val="0"/>
        <w:keepLines w:val="0"/>
        <w:pageBreakBefore w:val="0"/>
        <w:widowControl w:val="0"/>
        <w:tabs>
          <w:tab w:val="left" w:pos="203"/>
          <w:tab w:val="left" w:pos="540"/>
        </w:tabs>
        <w:kinsoku/>
        <w:wordWrap/>
        <w:overflowPunct/>
        <w:topLinePunct w:val="0"/>
        <w:autoSpaceDE/>
        <w:autoSpaceDN/>
        <w:bidi w:val="0"/>
        <w:adjustRightInd w:val="0"/>
        <w:snapToGrid w:val="0"/>
        <w:spacing w:after="0" w:line="360" w:lineRule="auto"/>
        <w:ind w:left="382" w:leftChars="0" w:right="168" w:rightChars="80" w:hanging="382" w:hangingChars="159"/>
        <w:jc w:val="both"/>
        <w:textAlignment w:val="baseline"/>
        <w:outlineLvl w:val="9"/>
        <w:rPr>
          <w:rFonts w:hint="eastAsia" w:ascii="宋体" w:hAnsi="宋体" w:eastAsia="宋体" w:cs="宋体"/>
          <w:sz w:val="24"/>
          <w:szCs w:val="24"/>
        </w:rPr>
      </w:pPr>
      <w:r>
        <w:rPr>
          <w:rFonts w:hint="eastAsia" w:ascii="宋体" w:hAnsi="宋体" w:eastAsia="宋体" w:cs="宋体"/>
          <w:sz w:val="24"/>
          <w:szCs w:val="24"/>
        </w:rPr>
        <w:t xml:space="preserve">3. Zhang Cheng, Song Y, Cheng ZH, Wang YX, Zhu J, Ma H, Xu L, </w:t>
      </w:r>
      <w:r>
        <w:rPr>
          <w:rFonts w:hint="eastAsia" w:ascii="宋体" w:hAnsi="宋体" w:eastAsia="宋体" w:cs="宋体"/>
          <w:b/>
          <w:sz w:val="24"/>
          <w:szCs w:val="24"/>
        </w:rPr>
        <w:t>Yang ZN*</w:t>
      </w:r>
      <w:r>
        <w:rPr>
          <w:rFonts w:hint="eastAsia" w:ascii="宋体" w:hAnsi="宋体" w:eastAsia="宋体" w:cs="宋体"/>
          <w:sz w:val="24"/>
          <w:szCs w:val="24"/>
        </w:rPr>
        <w:t xml:space="preserve">. 2012. The Arabidopsis thaliana DSB formation (AtDFO) gene is required for meiotic double-strand break formation. </w:t>
      </w:r>
      <w:r>
        <w:rPr>
          <w:rFonts w:hint="eastAsia" w:ascii="宋体" w:hAnsi="宋体" w:eastAsia="宋体" w:cs="宋体"/>
          <w:b/>
          <w:sz w:val="24"/>
          <w:szCs w:val="24"/>
        </w:rPr>
        <w:t xml:space="preserve">Plant Journal </w:t>
      </w:r>
      <w:r>
        <w:rPr>
          <w:rFonts w:hint="eastAsia" w:ascii="宋体" w:hAnsi="宋体" w:eastAsia="宋体" w:cs="宋体"/>
          <w:sz w:val="24"/>
          <w:szCs w:val="24"/>
        </w:rPr>
        <w:t>72: 271-281.</w:t>
      </w:r>
    </w:p>
    <w:p>
      <w:pPr>
        <w:pStyle w:val="2"/>
        <w:keepNext w:val="0"/>
        <w:keepLines w:val="0"/>
        <w:pageBreakBefore w:val="0"/>
        <w:widowControl w:val="0"/>
        <w:tabs>
          <w:tab w:val="left" w:pos="203"/>
          <w:tab w:val="left" w:pos="540"/>
        </w:tabs>
        <w:kinsoku/>
        <w:wordWrap/>
        <w:overflowPunct/>
        <w:topLinePunct w:val="0"/>
        <w:autoSpaceDE/>
        <w:autoSpaceDN/>
        <w:bidi w:val="0"/>
        <w:adjustRightInd w:val="0"/>
        <w:snapToGrid w:val="0"/>
        <w:spacing w:after="0" w:line="360" w:lineRule="auto"/>
        <w:ind w:left="382" w:leftChars="0" w:right="168" w:rightChars="80" w:hanging="382" w:hangingChars="159"/>
        <w:jc w:val="both"/>
        <w:textAlignment w:val="baseline"/>
        <w:outlineLvl w:val="9"/>
        <w:rPr>
          <w:rFonts w:hint="eastAsia" w:ascii="宋体" w:hAnsi="宋体" w:eastAsia="宋体" w:cs="宋体"/>
          <w:sz w:val="24"/>
          <w:szCs w:val="24"/>
        </w:rPr>
      </w:pPr>
      <w:r>
        <w:rPr>
          <w:rFonts w:hint="eastAsia" w:ascii="宋体" w:hAnsi="宋体" w:eastAsia="宋体" w:cs="宋体"/>
          <w:sz w:val="24"/>
          <w:szCs w:val="24"/>
        </w:rPr>
        <w:t xml:space="preserve">4. Chang Hai-Shuang, Zhang C, Chang YH, Zhu J, Xu XF, Shi ZH, Zhang XL, Xu L, Huang H, Zhang S, </w:t>
      </w:r>
      <w:r>
        <w:rPr>
          <w:rFonts w:hint="eastAsia" w:ascii="宋体" w:hAnsi="宋体" w:eastAsia="宋体" w:cs="宋体"/>
          <w:b/>
          <w:sz w:val="24"/>
          <w:szCs w:val="24"/>
        </w:rPr>
        <w:t>Yang ZN*</w:t>
      </w:r>
      <w:r>
        <w:rPr>
          <w:rFonts w:hint="eastAsia" w:ascii="宋体" w:hAnsi="宋体" w:eastAsia="宋体" w:cs="宋体"/>
          <w:sz w:val="24"/>
          <w:szCs w:val="24"/>
        </w:rPr>
        <w:t>，2012. NO PRIMEXINE AND PLASMA MEMBRANE UNDULATION (NPU), Is Essential for Primexine Deposition and Plasma Membrane Undulation during Microsporogenesis in</w:t>
      </w:r>
      <w:r>
        <w:rPr>
          <w:rFonts w:hint="eastAsia" w:ascii="宋体" w:hAnsi="宋体" w:eastAsia="宋体" w:cs="宋体"/>
          <w:i/>
          <w:sz w:val="24"/>
          <w:szCs w:val="24"/>
        </w:rPr>
        <w:t xml:space="preserve"> Arabidopsis thaliana</w:t>
      </w:r>
      <w:r>
        <w:rPr>
          <w:rFonts w:hint="eastAsia" w:ascii="宋体" w:hAnsi="宋体" w:eastAsia="宋体" w:cs="宋体"/>
          <w:sz w:val="24"/>
          <w:szCs w:val="24"/>
        </w:rPr>
        <w:t xml:space="preserve">. </w:t>
      </w:r>
      <w:r>
        <w:rPr>
          <w:rFonts w:hint="eastAsia" w:ascii="宋体" w:hAnsi="宋体" w:eastAsia="宋体" w:cs="宋体"/>
          <w:b/>
          <w:sz w:val="24"/>
          <w:szCs w:val="24"/>
        </w:rPr>
        <w:t>Plant Physiology</w:t>
      </w:r>
      <w:r>
        <w:rPr>
          <w:rFonts w:hint="eastAsia" w:ascii="宋体" w:hAnsi="宋体" w:eastAsia="宋体" w:cs="宋体"/>
          <w:sz w:val="24"/>
          <w:szCs w:val="24"/>
        </w:rPr>
        <w:t xml:space="preserve"> 158: 264–272.</w:t>
      </w:r>
    </w:p>
    <w:p>
      <w:pPr>
        <w:pStyle w:val="2"/>
        <w:keepNext w:val="0"/>
        <w:keepLines w:val="0"/>
        <w:pageBreakBefore w:val="0"/>
        <w:widowControl w:val="0"/>
        <w:tabs>
          <w:tab w:val="left" w:pos="203"/>
          <w:tab w:val="left" w:pos="540"/>
        </w:tabs>
        <w:kinsoku/>
        <w:wordWrap/>
        <w:overflowPunct/>
        <w:topLinePunct w:val="0"/>
        <w:autoSpaceDE/>
        <w:autoSpaceDN/>
        <w:bidi w:val="0"/>
        <w:adjustRightInd w:val="0"/>
        <w:snapToGrid w:val="0"/>
        <w:spacing w:after="0" w:line="360" w:lineRule="auto"/>
        <w:ind w:left="382" w:leftChars="0" w:right="168" w:rightChars="80" w:hanging="382" w:hangingChars="159"/>
        <w:jc w:val="both"/>
        <w:textAlignment w:val="baseline"/>
        <w:outlineLvl w:val="9"/>
        <w:rPr>
          <w:rFonts w:hint="eastAsia" w:ascii="宋体" w:hAnsi="宋体" w:eastAsia="宋体" w:cs="宋体"/>
          <w:sz w:val="24"/>
          <w:szCs w:val="24"/>
        </w:rPr>
      </w:pPr>
      <w:r>
        <w:rPr>
          <w:rFonts w:hint="eastAsia" w:ascii="宋体" w:hAnsi="宋体" w:eastAsia="宋体" w:cs="宋体"/>
          <w:sz w:val="24"/>
          <w:szCs w:val="24"/>
        </w:rPr>
        <w:t xml:space="preserve">5. Zhu Jun, Chen H, Li H, Gao JF, Jiang H, Wang C, Guan YF, </w:t>
      </w:r>
      <w:r>
        <w:rPr>
          <w:rFonts w:hint="eastAsia" w:ascii="宋体" w:hAnsi="宋体" w:eastAsia="宋体" w:cs="宋体"/>
          <w:b/>
          <w:sz w:val="24"/>
          <w:szCs w:val="24"/>
        </w:rPr>
        <w:t>Yang ZN*</w:t>
      </w:r>
      <w:r>
        <w:rPr>
          <w:rFonts w:hint="eastAsia" w:ascii="宋体" w:hAnsi="宋体" w:eastAsia="宋体" w:cs="宋体"/>
          <w:sz w:val="24"/>
          <w:szCs w:val="24"/>
        </w:rPr>
        <w:t xml:space="preserve">. 2008. Defective of Tapetum Development and Function1 (TDF1) Is Essential for Anther Development and Tapetum Function for Microspore Maturation in Arabidopsis. </w:t>
      </w:r>
      <w:r>
        <w:rPr>
          <w:rFonts w:hint="eastAsia" w:ascii="宋体" w:hAnsi="宋体" w:eastAsia="宋体" w:cs="宋体"/>
          <w:b/>
          <w:sz w:val="24"/>
          <w:szCs w:val="24"/>
        </w:rPr>
        <w:t>Plant Journal</w:t>
      </w:r>
      <w:r>
        <w:rPr>
          <w:rFonts w:hint="eastAsia" w:ascii="宋体" w:hAnsi="宋体" w:eastAsia="宋体" w:cs="宋体"/>
          <w:sz w:val="24"/>
          <w:szCs w:val="24"/>
        </w:rPr>
        <w:t xml:space="preserve"> 55: 266-277.</w:t>
      </w:r>
    </w:p>
    <w:p>
      <w:pPr>
        <w:pStyle w:val="2"/>
        <w:keepNext w:val="0"/>
        <w:keepLines w:val="0"/>
        <w:pageBreakBefore w:val="0"/>
        <w:widowControl w:val="0"/>
        <w:tabs>
          <w:tab w:val="left" w:pos="203"/>
          <w:tab w:val="left" w:pos="540"/>
        </w:tabs>
        <w:kinsoku/>
        <w:wordWrap/>
        <w:overflowPunct/>
        <w:topLinePunct w:val="0"/>
        <w:autoSpaceDE/>
        <w:autoSpaceDN/>
        <w:bidi w:val="0"/>
        <w:adjustRightInd w:val="0"/>
        <w:snapToGrid w:val="0"/>
        <w:spacing w:after="0" w:line="360" w:lineRule="auto"/>
        <w:ind w:left="382" w:leftChars="0" w:right="168" w:rightChars="80" w:hanging="382" w:hangingChars="159"/>
        <w:jc w:val="both"/>
        <w:textAlignment w:val="baseline"/>
        <w:outlineLvl w:val="9"/>
        <w:rPr>
          <w:rFonts w:hint="eastAsia" w:ascii="宋体" w:hAnsi="宋体" w:eastAsia="宋体" w:cs="宋体"/>
          <w:sz w:val="24"/>
          <w:szCs w:val="24"/>
        </w:rPr>
      </w:pPr>
      <w:r>
        <w:rPr>
          <w:rFonts w:hint="eastAsia" w:ascii="宋体" w:hAnsi="宋体" w:eastAsia="宋体" w:cs="宋体"/>
          <w:sz w:val="24"/>
          <w:szCs w:val="24"/>
        </w:rPr>
        <w:t xml:space="preserve">6. Guan Yue-Feng, Huang XY, Zhu J, Gao JF, Zhang HX, </w:t>
      </w:r>
      <w:r>
        <w:rPr>
          <w:rFonts w:hint="eastAsia" w:ascii="宋体" w:hAnsi="宋体" w:eastAsia="宋体" w:cs="宋体"/>
          <w:b/>
          <w:sz w:val="24"/>
          <w:szCs w:val="24"/>
        </w:rPr>
        <w:t>Yang ZN*</w:t>
      </w:r>
      <w:r>
        <w:rPr>
          <w:rFonts w:hint="eastAsia" w:ascii="宋体" w:hAnsi="宋体" w:eastAsia="宋体" w:cs="宋体"/>
          <w:sz w:val="24"/>
          <w:szCs w:val="24"/>
        </w:rPr>
        <w:t xml:space="preserve">. 2008. RUPTURED POLLEN GRAIN 1 (RPG1), a Member of MtN3/Saliva Gene Family, is Crucial for Exine Pattern Formation and Cell Integrity of Microspores in Arabidopsis thaliana. </w:t>
      </w:r>
      <w:r>
        <w:rPr>
          <w:rFonts w:hint="eastAsia" w:ascii="宋体" w:hAnsi="宋体" w:eastAsia="宋体" w:cs="宋体"/>
          <w:b/>
          <w:sz w:val="24"/>
          <w:szCs w:val="24"/>
        </w:rPr>
        <w:t>Plant Physiology</w:t>
      </w:r>
      <w:r>
        <w:rPr>
          <w:rFonts w:hint="eastAsia" w:ascii="宋体" w:hAnsi="宋体" w:eastAsia="宋体" w:cs="宋体"/>
          <w:sz w:val="24"/>
          <w:szCs w:val="24"/>
        </w:rPr>
        <w:t xml:space="preserve"> 147: 852-862.</w:t>
      </w:r>
    </w:p>
    <w:p>
      <w:pPr>
        <w:pStyle w:val="2"/>
        <w:keepNext w:val="0"/>
        <w:keepLines w:val="0"/>
        <w:pageBreakBefore w:val="0"/>
        <w:widowControl w:val="0"/>
        <w:tabs>
          <w:tab w:val="left" w:pos="203"/>
          <w:tab w:val="left" w:pos="540"/>
        </w:tabs>
        <w:kinsoku/>
        <w:wordWrap/>
        <w:overflowPunct/>
        <w:topLinePunct w:val="0"/>
        <w:autoSpaceDE/>
        <w:autoSpaceDN/>
        <w:bidi w:val="0"/>
        <w:adjustRightInd w:val="0"/>
        <w:snapToGrid w:val="0"/>
        <w:spacing w:after="0" w:line="360" w:lineRule="auto"/>
        <w:ind w:left="382" w:leftChars="0" w:right="168" w:rightChars="80" w:hanging="382" w:hangingChars="159"/>
        <w:jc w:val="both"/>
        <w:textAlignment w:val="baseline"/>
        <w:outlineLvl w:val="9"/>
        <w:rPr>
          <w:rFonts w:hint="eastAsia" w:ascii="宋体" w:hAnsi="宋体" w:eastAsia="宋体" w:cs="宋体"/>
          <w:sz w:val="24"/>
          <w:szCs w:val="24"/>
        </w:rPr>
      </w:pPr>
      <w:r>
        <w:rPr>
          <w:rFonts w:hint="eastAsia" w:ascii="宋体" w:hAnsi="宋体" w:eastAsia="宋体" w:cs="宋体"/>
          <w:sz w:val="24"/>
          <w:szCs w:val="24"/>
        </w:rPr>
        <w:t xml:space="preserve">7. Zhang Zai-Bao, Zhu J, Gao JF, Wang C, Li H, Zhang HQ, Zhang S, Wang DM, Wang QX, Huang H, Xia HJ, </w:t>
      </w:r>
      <w:r>
        <w:rPr>
          <w:rFonts w:hint="eastAsia" w:ascii="宋体" w:hAnsi="宋体" w:eastAsia="宋体" w:cs="宋体"/>
          <w:b/>
          <w:sz w:val="24"/>
          <w:szCs w:val="24"/>
        </w:rPr>
        <w:t>Yang ZN*</w:t>
      </w:r>
      <w:r>
        <w:rPr>
          <w:rFonts w:hint="eastAsia" w:ascii="宋体" w:hAnsi="宋体" w:eastAsia="宋体" w:cs="宋体"/>
          <w:sz w:val="24"/>
          <w:szCs w:val="24"/>
        </w:rPr>
        <w:t xml:space="preserve">. 2007. Transcription Factor AtMYB103 is Required for Anther Development by Regulating Microspore Release from Tetrads and Exine Formation in Arabidopsis. </w:t>
      </w:r>
      <w:r>
        <w:rPr>
          <w:rFonts w:hint="eastAsia" w:ascii="宋体" w:hAnsi="宋体" w:eastAsia="宋体" w:cs="宋体"/>
          <w:b/>
          <w:sz w:val="24"/>
          <w:szCs w:val="24"/>
        </w:rPr>
        <w:t>Plant Journal</w:t>
      </w:r>
      <w:r>
        <w:rPr>
          <w:rFonts w:hint="eastAsia" w:ascii="宋体" w:hAnsi="宋体" w:eastAsia="宋体" w:cs="宋体"/>
          <w:sz w:val="24"/>
          <w:szCs w:val="24"/>
        </w:rPr>
        <w:t xml:space="preserve"> 52(3): 528-538.</w:t>
      </w:r>
    </w:p>
    <w:p>
      <w:pPr>
        <w:pStyle w:val="2"/>
        <w:keepNext w:val="0"/>
        <w:keepLines w:val="0"/>
        <w:pageBreakBefore w:val="0"/>
        <w:widowControl w:val="0"/>
        <w:tabs>
          <w:tab w:val="left" w:pos="203"/>
          <w:tab w:val="left" w:pos="540"/>
        </w:tabs>
        <w:kinsoku/>
        <w:wordWrap/>
        <w:overflowPunct/>
        <w:topLinePunct w:val="0"/>
        <w:autoSpaceDE/>
        <w:autoSpaceDN/>
        <w:bidi w:val="0"/>
        <w:adjustRightInd w:val="0"/>
        <w:snapToGrid w:val="0"/>
        <w:spacing w:after="0" w:line="360" w:lineRule="auto"/>
        <w:ind w:left="382" w:leftChars="0" w:right="168" w:rightChars="80" w:hanging="382" w:hangingChars="159"/>
        <w:jc w:val="both"/>
        <w:textAlignment w:val="baseline"/>
        <w:outlineLvl w:val="9"/>
        <w:rPr>
          <w:rFonts w:hint="eastAsia" w:ascii="宋体" w:hAnsi="宋体" w:eastAsia="宋体" w:cs="宋体"/>
          <w:sz w:val="24"/>
          <w:szCs w:val="24"/>
        </w:rPr>
      </w:pPr>
      <w:r>
        <w:rPr>
          <w:rFonts w:hint="eastAsia" w:ascii="宋体" w:hAnsi="宋体" w:eastAsia="宋体" w:cs="宋体"/>
          <w:sz w:val="24"/>
          <w:szCs w:val="24"/>
        </w:rPr>
        <w:t xml:space="preserve">8. Shen Ying-Jia, Jiang H, Jin JP, Zhang ZB, Xi B, He YY, Wang G, Wang C, Qian L, Li X, Yu QB, Liu HJ, Chen DH, Gao JH, Huang H, Shi TL, </w:t>
      </w:r>
      <w:r>
        <w:rPr>
          <w:rFonts w:hint="eastAsia" w:ascii="宋体" w:hAnsi="宋体" w:eastAsia="宋体" w:cs="宋体"/>
          <w:b/>
          <w:sz w:val="24"/>
          <w:szCs w:val="24"/>
        </w:rPr>
        <w:t>Yang ZN*</w:t>
      </w:r>
      <w:r>
        <w:rPr>
          <w:rFonts w:hint="eastAsia" w:ascii="宋体" w:hAnsi="宋体" w:eastAsia="宋体" w:cs="宋体"/>
          <w:sz w:val="24"/>
          <w:szCs w:val="24"/>
        </w:rPr>
        <w:t xml:space="preserve">. 2004. Development of Genome-Wide DNA Polymorphism Database for Map-Based Cloning of Rice Genes. </w:t>
      </w:r>
      <w:r>
        <w:rPr>
          <w:rFonts w:hint="eastAsia" w:ascii="宋体" w:hAnsi="宋体" w:eastAsia="宋体" w:cs="宋体"/>
          <w:b/>
          <w:sz w:val="24"/>
          <w:szCs w:val="24"/>
        </w:rPr>
        <w:t>Plant Physiol.</w:t>
      </w:r>
      <w:r>
        <w:rPr>
          <w:rFonts w:hint="eastAsia" w:ascii="宋体" w:hAnsi="宋体" w:eastAsia="宋体" w:cs="宋体"/>
          <w:sz w:val="24"/>
          <w:szCs w:val="24"/>
        </w:rPr>
        <w:t xml:space="preserve"> 135(3):1198-1205.</w:t>
      </w:r>
    </w:p>
    <w:p>
      <w:pPr>
        <w:keepNext w:val="0"/>
        <w:keepLines w:val="0"/>
        <w:pageBreakBefore w:val="0"/>
        <w:widowControl w:val="0"/>
        <w:kinsoku/>
        <w:wordWrap/>
        <w:overflowPunct/>
        <w:topLinePunct w:val="0"/>
        <w:autoSpaceDE/>
        <w:autoSpaceDN/>
        <w:bidi w:val="0"/>
        <w:adjustRightInd w:val="0"/>
        <w:snapToGrid w:val="0"/>
        <w:spacing w:line="360" w:lineRule="auto"/>
        <w:jc w:val="both"/>
        <w:outlineLvl w:val="9"/>
        <w:rPr>
          <w:rFonts w:hint="eastAsia" w:ascii="宋体" w:hAnsi="宋体" w:eastAsia="宋体" w:cs="宋体"/>
          <w:b/>
          <w:sz w:val="24"/>
          <w:szCs w:val="24"/>
        </w:rPr>
      </w:pPr>
      <w:r>
        <w:rPr>
          <w:rFonts w:hint="eastAsia" w:ascii="宋体" w:hAnsi="宋体" w:eastAsia="宋体" w:cs="宋体"/>
          <w:b/>
          <w:sz w:val="24"/>
          <w:szCs w:val="24"/>
          <w:lang w:val="en-US" w:eastAsia="zh-CN"/>
        </w:rPr>
        <w:t xml:space="preserve">4 </w:t>
      </w:r>
      <w:r>
        <w:rPr>
          <w:rFonts w:hint="eastAsia" w:ascii="宋体" w:hAnsi="宋体" w:eastAsia="宋体" w:cs="宋体"/>
          <w:b/>
          <w:sz w:val="24"/>
          <w:szCs w:val="24"/>
        </w:rPr>
        <w:t>主要完成单位</w:t>
      </w:r>
      <w:r>
        <w:rPr>
          <w:rFonts w:hint="eastAsia" w:ascii="宋体" w:hAnsi="宋体" w:eastAsia="宋体" w:cs="宋体"/>
          <w:b/>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jc w:val="both"/>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上海师范大学</w:t>
      </w:r>
      <w:r>
        <w:rPr>
          <w:rFonts w:hint="eastAsia" w:ascii="宋体" w:hAnsi="宋体" w:eastAsia="宋体" w:cs="宋体"/>
          <w:sz w:val="24"/>
          <w:szCs w:val="24"/>
        </w:rPr>
        <w:tab/>
      </w:r>
    </w:p>
    <w:p>
      <w:pPr>
        <w:keepNext w:val="0"/>
        <w:keepLines w:val="0"/>
        <w:pageBreakBefore w:val="0"/>
        <w:widowControl w:val="0"/>
        <w:kinsoku/>
        <w:wordWrap/>
        <w:overflowPunct/>
        <w:topLinePunct w:val="0"/>
        <w:autoSpaceDE/>
        <w:autoSpaceDN/>
        <w:bidi w:val="0"/>
        <w:adjustRightInd w:val="0"/>
        <w:snapToGrid w:val="0"/>
        <w:spacing w:line="360" w:lineRule="auto"/>
        <w:jc w:val="both"/>
        <w:outlineLvl w:val="9"/>
        <w:rPr>
          <w:rFonts w:hint="eastAsia" w:ascii="宋体" w:hAnsi="宋体" w:eastAsia="宋体" w:cs="宋体"/>
          <w:b/>
          <w:sz w:val="24"/>
          <w:szCs w:val="24"/>
        </w:rPr>
      </w:pPr>
      <w:r>
        <w:rPr>
          <w:rFonts w:hint="eastAsia" w:ascii="宋体" w:hAnsi="宋体" w:eastAsia="宋体" w:cs="宋体"/>
          <w:b/>
          <w:sz w:val="24"/>
          <w:szCs w:val="24"/>
          <w:lang w:val="en-US" w:eastAsia="zh-CN"/>
        </w:rPr>
        <w:t xml:space="preserve">5 </w:t>
      </w:r>
      <w:r>
        <w:rPr>
          <w:rFonts w:hint="eastAsia" w:ascii="宋体" w:hAnsi="宋体" w:eastAsia="宋体" w:cs="宋体"/>
          <w:b/>
          <w:sz w:val="24"/>
          <w:szCs w:val="24"/>
        </w:rPr>
        <w:t>主要完成人</w:t>
      </w:r>
      <w:r>
        <w:rPr>
          <w:rFonts w:hint="eastAsia" w:ascii="宋体" w:hAnsi="宋体" w:eastAsia="宋体" w:cs="宋体"/>
          <w:b/>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jc w:val="both"/>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杨仲南、朱骏、张森、张丞、楼悦</w:t>
      </w:r>
    </w:p>
    <w:p>
      <w:pPr>
        <w:keepNext w:val="0"/>
        <w:keepLines w:val="0"/>
        <w:pageBreakBefore w:val="0"/>
        <w:widowControl w:val="0"/>
        <w:kinsoku/>
        <w:wordWrap/>
        <w:overflowPunct/>
        <w:topLinePunct w:val="0"/>
        <w:autoSpaceDE/>
        <w:autoSpaceDN/>
        <w:bidi w:val="0"/>
        <w:adjustRightInd w:val="0"/>
        <w:snapToGrid w:val="0"/>
        <w:spacing w:line="360" w:lineRule="auto"/>
        <w:jc w:val="both"/>
        <w:outlineLvl w:val="9"/>
        <w:rPr>
          <w:rFonts w:hint="eastAsia" w:ascii="宋体" w:hAnsi="宋体" w:eastAsia="宋体" w:cs="宋体"/>
          <w:b/>
          <w:bCs/>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B6E"/>
    <w:rsid w:val="000549B0"/>
    <w:rsid w:val="00065704"/>
    <w:rsid w:val="00067888"/>
    <w:rsid w:val="00093E23"/>
    <w:rsid w:val="000B1095"/>
    <w:rsid w:val="00102FAD"/>
    <w:rsid w:val="001270AC"/>
    <w:rsid w:val="00130B42"/>
    <w:rsid w:val="00160C44"/>
    <w:rsid w:val="00171B19"/>
    <w:rsid w:val="00175875"/>
    <w:rsid w:val="001B4B14"/>
    <w:rsid w:val="00236FA4"/>
    <w:rsid w:val="0024214E"/>
    <w:rsid w:val="0025037B"/>
    <w:rsid w:val="002531E9"/>
    <w:rsid w:val="0025795F"/>
    <w:rsid w:val="00262D34"/>
    <w:rsid w:val="00296ABC"/>
    <w:rsid w:val="002C04A7"/>
    <w:rsid w:val="002E5AF5"/>
    <w:rsid w:val="002F11B0"/>
    <w:rsid w:val="00361177"/>
    <w:rsid w:val="00367662"/>
    <w:rsid w:val="003A6D36"/>
    <w:rsid w:val="003B21E8"/>
    <w:rsid w:val="003B4BFF"/>
    <w:rsid w:val="003B6474"/>
    <w:rsid w:val="003C52C9"/>
    <w:rsid w:val="003D2E8A"/>
    <w:rsid w:val="003D7210"/>
    <w:rsid w:val="003E7841"/>
    <w:rsid w:val="00400723"/>
    <w:rsid w:val="00417305"/>
    <w:rsid w:val="00427D34"/>
    <w:rsid w:val="00434BBF"/>
    <w:rsid w:val="0044211C"/>
    <w:rsid w:val="00465DBA"/>
    <w:rsid w:val="00487B13"/>
    <w:rsid w:val="00496DC7"/>
    <w:rsid w:val="004A7B6E"/>
    <w:rsid w:val="004F093A"/>
    <w:rsid w:val="00505CD7"/>
    <w:rsid w:val="0051616A"/>
    <w:rsid w:val="00527BEA"/>
    <w:rsid w:val="0054238E"/>
    <w:rsid w:val="00571D6E"/>
    <w:rsid w:val="0059497E"/>
    <w:rsid w:val="00597387"/>
    <w:rsid w:val="005C0E5C"/>
    <w:rsid w:val="005D27FF"/>
    <w:rsid w:val="006135B0"/>
    <w:rsid w:val="006207D7"/>
    <w:rsid w:val="00651A7C"/>
    <w:rsid w:val="006A2C1A"/>
    <w:rsid w:val="006B0D89"/>
    <w:rsid w:val="006B7235"/>
    <w:rsid w:val="006D6132"/>
    <w:rsid w:val="006D6598"/>
    <w:rsid w:val="006E61D6"/>
    <w:rsid w:val="006F3303"/>
    <w:rsid w:val="00737133"/>
    <w:rsid w:val="00761F1D"/>
    <w:rsid w:val="00772356"/>
    <w:rsid w:val="00791886"/>
    <w:rsid w:val="007A1FF9"/>
    <w:rsid w:val="007A5187"/>
    <w:rsid w:val="007B0DFC"/>
    <w:rsid w:val="007B347C"/>
    <w:rsid w:val="007C46D7"/>
    <w:rsid w:val="007E0A7A"/>
    <w:rsid w:val="00817413"/>
    <w:rsid w:val="00827B5F"/>
    <w:rsid w:val="008336E3"/>
    <w:rsid w:val="00837A2D"/>
    <w:rsid w:val="008425E6"/>
    <w:rsid w:val="00843C26"/>
    <w:rsid w:val="00845889"/>
    <w:rsid w:val="00870869"/>
    <w:rsid w:val="00887DDD"/>
    <w:rsid w:val="00890BFC"/>
    <w:rsid w:val="008B1645"/>
    <w:rsid w:val="008C7B62"/>
    <w:rsid w:val="008F4997"/>
    <w:rsid w:val="009B368B"/>
    <w:rsid w:val="009F0F87"/>
    <w:rsid w:val="00A21446"/>
    <w:rsid w:val="00A22A53"/>
    <w:rsid w:val="00A3135A"/>
    <w:rsid w:val="00A4700B"/>
    <w:rsid w:val="00A810A1"/>
    <w:rsid w:val="00A900DC"/>
    <w:rsid w:val="00AB495A"/>
    <w:rsid w:val="00AC608C"/>
    <w:rsid w:val="00B05A80"/>
    <w:rsid w:val="00B156FF"/>
    <w:rsid w:val="00B25BD8"/>
    <w:rsid w:val="00BA5CBA"/>
    <w:rsid w:val="00BA6D2D"/>
    <w:rsid w:val="00BB36EA"/>
    <w:rsid w:val="00BC0628"/>
    <w:rsid w:val="00BE772E"/>
    <w:rsid w:val="00C10729"/>
    <w:rsid w:val="00C306BE"/>
    <w:rsid w:val="00C44745"/>
    <w:rsid w:val="00C5289D"/>
    <w:rsid w:val="00C571BA"/>
    <w:rsid w:val="00C8447B"/>
    <w:rsid w:val="00CA16B9"/>
    <w:rsid w:val="00CA415D"/>
    <w:rsid w:val="00CF3404"/>
    <w:rsid w:val="00CF3C55"/>
    <w:rsid w:val="00D026F8"/>
    <w:rsid w:val="00D26CB2"/>
    <w:rsid w:val="00D41358"/>
    <w:rsid w:val="00D53652"/>
    <w:rsid w:val="00D55BC7"/>
    <w:rsid w:val="00D97F0A"/>
    <w:rsid w:val="00E24724"/>
    <w:rsid w:val="00E30765"/>
    <w:rsid w:val="00E46A41"/>
    <w:rsid w:val="00E52C8F"/>
    <w:rsid w:val="00E62447"/>
    <w:rsid w:val="00E71783"/>
    <w:rsid w:val="00EA2BFF"/>
    <w:rsid w:val="00EA3CA5"/>
    <w:rsid w:val="00EA669B"/>
    <w:rsid w:val="00ED0327"/>
    <w:rsid w:val="00F13CBC"/>
    <w:rsid w:val="00F22872"/>
    <w:rsid w:val="00F40438"/>
    <w:rsid w:val="00F42887"/>
    <w:rsid w:val="00F44418"/>
    <w:rsid w:val="00FA57FA"/>
    <w:rsid w:val="00FF7BD3"/>
    <w:rsid w:val="134418DE"/>
    <w:rsid w:val="1A652088"/>
    <w:rsid w:val="2EF2103D"/>
    <w:rsid w:val="30B067B2"/>
    <w:rsid w:val="516C654F"/>
    <w:rsid w:val="55C362BD"/>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rPr>
      <w:szCs w:val="20"/>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character" w:customStyle="1" w:styleId="9">
    <w:name w:val="mh-map_new-info"/>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479</Words>
  <Characters>2733</Characters>
  <Lines>22</Lines>
  <Paragraphs>6</Paragraphs>
  <ScaleCrop>false</ScaleCrop>
  <LinksUpToDate>false</LinksUpToDate>
  <CharactersWithSpaces>3206</CharactersWithSpaces>
  <Application>WPS Office_10.1.0.6173_F1E327BC-269C-435d-A152-05C5408002CA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2017-04-07T08:51:00Z</dcterms:created>
  <dc:creator>hsd</dc:creator>
  <cp:lastModifiedBy>kjc</cp:lastModifiedBy>
  <dcterms:modified xsi:type="dcterms:W3CDTF">2017-04-17T05:40:28Z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